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 w:cs="Times New Roman"/>
          <w:b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EDUKACYJNE Z  TECHNIKI KL.VI</w:t>
      </w:r>
    </w:p>
    <w:p>
      <w:pPr>
        <w:pStyle w:val="Normal"/>
        <w:widowControl w:val="false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Ocena śródroczna jest określana na podstawie realizacji wymagań z I półrocza,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ocena roczna polega na podsumowaniu osiągnięć edukacyjnych ucznia z zajęć edukacyjnych na podstawie wymagań z całego roku szkolnego (I i II półrocze).</w:t>
      </w:r>
    </w:p>
    <w:p>
      <w:pPr>
        <w:pStyle w:val="Normal"/>
        <w:spacing w:before="0" w:after="120"/>
        <w:jc w:val="center"/>
        <w:rPr/>
      </w:pP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I półrocze</w:t>
      </w:r>
    </w:p>
    <w:p>
      <w:pPr>
        <w:pStyle w:val="Normal"/>
        <w:widowControl w:val="false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W w:w="15735" w:type="dxa"/>
        <w:jc w:val="left"/>
        <w:tblInd w:w="-1046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49"/>
        <w:gridCol w:w="710"/>
        <w:gridCol w:w="3260"/>
        <w:gridCol w:w="5054"/>
        <w:gridCol w:w="3687"/>
        <w:gridCol w:w="1274"/>
      </w:tblGrid>
      <w:tr>
        <w:trPr>
          <w:tblHeader w:val="true"/>
          <w:trHeight w:val="777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poziomy oceniania 2 - 3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poziomy oceniania 4 - 6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>
        <w:trPr>
          <w:trHeight w:val="297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ind w:left="244" w:hanging="244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>
        <w:trPr>
          <w:trHeight w:val="152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 osiedla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>
        <w:trPr>
          <w:trHeight w:val="152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etapy budowy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podaje nazwy zawodów związanych z budową domów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>
        <w:trPr>
          <w:trHeight w:val="1166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umeblowania i wyposażenia pokoju ucznia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dekorowanie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>
        <w:trPr>
          <w:trHeight w:val="2107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tkanin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>
        <w:trPr>
          <w:trHeight w:val="242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Instalacje i opłaty domowe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hanging="39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charakterystyka urządzeń pomiarowych stosowanych w gospodarstwie domowym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>
            <w:pPr>
              <w:pStyle w:val="Normal"/>
              <w:widowControl w:val="false"/>
              <w:tabs>
                <w:tab w:val="left" w:pos="214" w:leader="none"/>
              </w:tabs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•</w:t>
            </w:r>
            <w:r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podaje praktyczne sposoby zmniejszenia zużycia prądu, gazu i wody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>
        <w:trPr>
          <w:trHeight w:val="206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>
        <w:trPr>
          <w:trHeight w:val="2438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działania kuchenki elektrycznej, gazowej i mikrofalowej, chłodziarko-zamrażarki, zmywarki oraz pralki automatycznej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>
        <w:trPr>
          <w:trHeight w:val="3331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 Nowoczesny sprzęt na co dzień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charakteryzuje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>
        <w:trPr>
          <w:trHeight w:val="3331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eastAsia="pl-PL"/>
              </w:rPr>
              <w:t>II półrocze</w:t>
            </w:r>
          </w:p>
        </w:tc>
      </w:tr>
      <w:tr>
        <w:trPr>
          <w:trHeight w:val="456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>
        <w:trPr>
          <w:trHeight w:val="97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hanging="3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złożeniowy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>
        <w:trPr>
          <w:trHeight w:val="170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hanging="39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przedstawiania przedmiotów w 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>
        <w:trPr>
          <w:trHeight w:val="1896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Rzuty aksono- metryczne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terminy: rzutowanie aksonometryczne, izometria, dimetria ukośna i prostokątna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rzuty izometryczne i dimetryczne ukośne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>
        <w:trPr>
          <w:trHeight w:val="1349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Wymiarowanie rysunków technicznych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left" w:pos="218" w:leader="none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214" w:leader="none"/>
              </w:tabs>
              <w:ind w:left="36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>
        <w:trPr>
          <w:trHeight w:val="456" w:hRule="atLeast"/>
        </w:trPr>
        <w:tc>
          <w:tcPr>
            <w:tcW w:w="1573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ListParagraph"/>
              <w:widowControl w:val="false"/>
              <w:ind w:left="0" w:hanging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>
        <w:trPr>
          <w:trHeight w:val="134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uzupełnia rysunki brył w izometrii i dimetrii ukośnej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wykonuje rzuty izometryczne i dimetryczne ukośne brył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przedstawia wskazane przedmioty w 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tabs>
                <w:tab w:val="left" w:pos="216" w:leader="none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>
            <w:pPr>
              <w:pStyle w:val="Normal"/>
              <w:widowControl w:val="false"/>
              <w:tabs>
                <w:tab w:val="left" w:pos="214" w:leader="none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>
            <w:pPr>
              <w:pStyle w:val="Normal"/>
              <w:widowControl w:val="false"/>
              <w:tabs>
                <w:tab w:val="left" w:pos="211" w:leader="none"/>
              </w:tabs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 xml:space="preserve">wyszukuje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w okolicy punkty prowadzące  zbiórkę zużytego sprzętu elektronicznego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>
        <w:trPr>
          <w:trHeight w:val="2602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Sekrety elektroniki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dobiera uzgodniony w zespole zestaw konstrukcyjny zgodnie z zainteresowaniami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>
        <w:trPr>
          <w:trHeight w:val="1714" w:hRule="atLeast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ind w:left="244" w:hanging="244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zasady współdziałania elementów mechanicznych, elektrycznych i 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1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8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6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14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209" w:leader="none"/>
              </w:tabs>
              <w:ind w:left="360" w:hanging="360"/>
              <w:rPr/>
            </w:pPr>
            <w:r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outlineLvl w:val="3"/>
        <w:rPr/>
      </w:pPr>
      <w:r>
        <w:rPr/>
      </w:r>
    </w:p>
    <w:sectPr>
      <w:footerReference w:type="default" r:id="rId2"/>
      <w:type w:val="nextPage"/>
      <w:pgSz w:orient="landscape" w:w="16838" w:h="11906"/>
      <w:pgMar w:left="1700" w:right="1131" w:header="0" w:top="1135" w:footer="794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Minion Pro">
    <w:charset w:val="ee"/>
    <w:family w:val="roman"/>
    <w:pitch w:val="variable"/>
  </w:font>
  <w:font w:name="Humanst521EU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numPr>
        <w:ilvl w:val="0"/>
        <w:numId w:val="0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27" w:customStyle="1">
    <w:name w:val="ListLabel 127"/>
    <w:qFormat/>
    <w:rPr>
      <w:rFonts w:ascii="Calibri" w:hAnsi="Calibri" w:cs="OpenSymbol"/>
      <w:sz w:val="18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18" w:customStyle="1">
    <w:name w:val="ListLabel 118"/>
    <w:qFormat/>
    <w:rPr>
      <w:rFonts w:ascii="Calibri" w:hAnsi="Calibri" w:cs="OpenSymbol"/>
      <w:sz w:val="18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36" w:customStyle="1">
    <w:name w:val="ListLabel 136"/>
    <w:qFormat/>
    <w:rPr>
      <w:rFonts w:cs="OpenSymbol"/>
      <w:sz w:val="18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  <w:sz w:val="18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Znakinumeracji" w:customStyle="1">
    <w:name w:val="Znaki numeracji"/>
    <w:qFormat/>
    <w:rPr/>
  </w:style>
  <w:style w:type="character" w:styleId="ListLabel154">
    <w:name w:val="ListLabel 154"/>
    <w:qFormat/>
    <w:rPr>
      <w:rFonts w:ascii="Calibri" w:hAnsi="Calibri"/>
      <w:sz w:val="18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sz w:val="18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eastAsia="SimSun" w:cs="Calibri"/>
      <w:color w:val="000000"/>
      <w:sz w:val="1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eastAsia="SimSun" w:cs="Calibri"/>
      <w:color w:val="000000"/>
      <w:sz w:val="18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eastAsia="SimSun" w:cs="Calibri"/>
      <w:color w:val="000000"/>
      <w:sz w:val="18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sz w:val="18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sz w:val="18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sz w:val="18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sz w:val="18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sz w:val="18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sz w:val="18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sz w:val="18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sz w:val="18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sz w:val="18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sz w:val="18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eastAsia="SimSun" w:cs="Calibri"/>
      <w:color w:val="000000"/>
      <w:sz w:val="1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sz w:val="18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sz w:val="18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sz w:val="18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eastAsia="SimSun" w:cs="Calibri"/>
      <w:color w:val="000000"/>
      <w:sz w:val="18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eastAsia="SimSun" w:cs="Calibri"/>
      <w:color w:val="000000"/>
      <w:sz w:val="18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eastAsia="SimSun" w:cs="Calibri"/>
      <w:color w:val="000000"/>
      <w:sz w:val="18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eastAsia="SimSun" w:cs="Calibri"/>
      <w:color w:val="000000"/>
      <w:sz w:val="1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eastAsia="SimSun" w:cs="Calibri"/>
      <w:color w:val="000000"/>
      <w:sz w:val="18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eastAsia="SimSun" w:cs="Calibri"/>
      <w:color w:val="000000"/>
      <w:sz w:val="18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eastAsia="SimSun" w:cs="Calibri"/>
      <w:color w:val="000000"/>
      <w:sz w:val="18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eastAsia="SimSun" w:cs="Calibri"/>
      <w:color w:val="000000"/>
      <w:sz w:val="18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sz w:val="18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sz w:val="18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kstpodstawowyZnak">
    <w:name w:val="Tekst podstawowy Znak"/>
    <w:basedOn w:val="DefaultParagraphFont"/>
    <w:qFormat/>
    <w:rPr/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A14">
    <w:name w:val="A14"/>
    <w:qFormat/>
    <w:rPr>
      <w:rFonts w:cs="Humanst521EU"/>
      <w:color w:val="000000"/>
      <w:sz w:val="15"/>
      <w:szCs w:val="15"/>
    </w:rPr>
  </w:style>
  <w:style w:type="character" w:styleId="A13">
    <w:name w:val="A13"/>
    <w:qFormat/>
    <w:rPr>
      <w:rFonts w:cs="Humanst521EU"/>
      <w:color w:val="000000"/>
      <w:sz w:val="15"/>
      <w:szCs w:val="15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c82f5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2">
    <w:name w:val="Body Text 2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Pa31">
    <w:name w:val="Pa31"/>
    <w:basedOn w:val="Default"/>
    <w:next w:val="Default"/>
    <w:qFormat/>
    <w:pPr>
      <w:spacing w:lineRule="atLeast" w:line="321"/>
    </w:pPr>
    <w:rPr>
      <w:rFonts w:ascii="Minion Pro" w:hAnsi="Minion Pro" w:eastAsia="Calibri" w:cs="Lucida Sans"/>
      <w:color w:val="00000A"/>
      <w:lang w:eastAsia="en-US"/>
    </w:rPr>
  </w:style>
  <w:style w:type="paragraph" w:styleId="NoSpacing">
    <w:name w:val="No Spacing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pl-PL" w:val="pl-PL" w:bidi="hi-I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eastAsia="pl-PL" w:val="pl-PL" w:bidi="hi-IN"/>
    </w:rPr>
  </w:style>
  <w:style w:type="paragraph" w:styleId="Pa11">
    <w:name w:val="Pa11"/>
    <w:basedOn w:val="Normal"/>
    <w:qFormat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LibreOffice/5.4.1.2$Windows_X86_64 LibreOffice_project/ea7cb86e6eeb2bf3a5af73a8f7777ac570321527</Application>
  <Pages>6</Pages>
  <Words>1587</Words>
  <Characters>10301</Characters>
  <CharactersWithSpaces>11486</CharactersWithSpaces>
  <Paragraphs>273</Paragraphs>
  <Company>www.nowaera.pl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2019-07-30T06:29:00Z</dcterms:created>
  <dc:creator>Agnieszka Sieczak</dc:creator>
  <dc:description/>
  <dc:language>pl-PL</dc:language>
  <cp:lastModifiedBy/>
  <dcterms:modified xsi:type="dcterms:W3CDTF">2022-12-05T11:52:40Z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www.nowaera.pl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