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CD10A2" w14:textId="77777777" w:rsidR="004D79F0" w:rsidRDefault="00000000" w:rsidP="004D79F0">
      <w:pPr>
        <w:pStyle w:val="NormalnyWeb"/>
        <w:spacing w:before="0" w:beforeAutospacing="0" w:after="0" w:afterAutospacing="0"/>
        <w:rPr>
          <w:b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</w:t>
      </w:r>
    </w:p>
    <w:p w14:paraId="2A0406DF" w14:textId="3E88C313" w:rsidR="004D79F0" w:rsidRDefault="004D79F0" w:rsidP="004D79F0">
      <w:pPr>
        <w:jc w:val="center"/>
        <w:rPr>
          <w:rFonts w:ascii="Arial Black" w:hAnsi="Arial Black" w:cs="Arial Black"/>
          <w:b/>
          <w:sz w:val="32"/>
          <w:szCs w:val="32"/>
        </w:rPr>
      </w:pPr>
      <w:r>
        <w:rPr>
          <w:rFonts w:ascii="Arial Black" w:hAnsi="Arial Black" w:cs="Arial Black"/>
          <w:b/>
          <w:sz w:val="32"/>
          <w:szCs w:val="32"/>
        </w:rPr>
        <w:t>Technika</w:t>
      </w:r>
      <w:r>
        <w:rPr>
          <w:rFonts w:ascii="Arial Black" w:hAnsi="Arial Black" w:cs="Arial Black"/>
          <w:b/>
          <w:sz w:val="32"/>
          <w:szCs w:val="32"/>
        </w:rPr>
        <w:t xml:space="preserve">  Kl.</w:t>
      </w:r>
      <w:r>
        <w:rPr>
          <w:rFonts w:ascii="Arial Black" w:hAnsi="Arial Black" w:cs="Arial Black"/>
          <w:b/>
          <w:sz w:val="32"/>
          <w:szCs w:val="32"/>
        </w:rPr>
        <w:t>VI</w:t>
      </w:r>
      <w:r>
        <w:rPr>
          <w:rFonts w:ascii="Arial Black" w:hAnsi="Arial Black" w:cs="Arial Black"/>
          <w:b/>
          <w:sz w:val="32"/>
          <w:szCs w:val="32"/>
        </w:rPr>
        <w:t xml:space="preserve"> </w:t>
      </w:r>
    </w:p>
    <w:p w14:paraId="778861B0" w14:textId="27DA3F6B" w:rsidR="004D79F0" w:rsidRDefault="004D79F0" w:rsidP="004D79F0">
      <w:pPr>
        <w:jc w:val="center"/>
        <w:rPr>
          <w:rFonts w:ascii="Arial Black" w:hAnsi="Arial Black" w:cs="Arial Black"/>
          <w:b/>
          <w:sz w:val="32"/>
          <w:szCs w:val="32"/>
        </w:rPr>
      </w:pPr>
      <w:r w:rsidRPr="00037B84">
        <w:rPr>
          <w:rFonts w:ascii="Arial Black" w:hAnsi="Arial Black" w:cs="Arial Black"/>
          <w:b/>
          <w:sz w:val="32"/>
          <w:szCs w:val="32"/>
        </w:rPr>
        <w:t>SZCZEGÓŁOWE WYMAGANIA EDUKACYJNE dla kl. V</w:t>
      </w:r>
      <w:r>
        <w:rPr>
          <w:rFonts w:ascii="Arial Black" w:hAnsi="Arial Black" w:cs="Arial Black"/>
          <w:b/>
          <w:sz w:val="32"/>
          <w:szCs w:val="32"/>
        </w:rPr>
        <w:t>I</w:t>
      </w:r>
      <w:r w:rsidRPr="00037B84">
        <w:rPr>
          <w:rFonts w:ascii="Arial Black" w:hAnsi="Arial Black" w:cs="Arial Black"/>
          <w:b/>
          <w:sz w:val="32"/>
          <w:szCs w:val="32"/>
        </w:rPr>
        <w:t xml:space="preserve"> – </w:t>
      </w:r>
      <w:r>
        <w:rPr>
          <w:rFonts w:ascii="Arial Black" w:hAnsi="Arial Black" w:cs="Arial Black"/>
          <w:b/>
          <w:sz w:val="32"/>
          <w:szCs w:val="32"/>
        </w:rPr>
        <w:t>Technika</w:t>
      </w:r>
    </w:p>
    <w:p w14:paraId="7298A7AC" w14:textId="0A3D21F9" w:rsidR="004D79F0" w:rsidRPr="00037B84" w:rsidRDefault="004D79F0" w:rsidP="004D79F0">
      <w:pPr>
        <w:jc w:val="center"/>
        <w:rPr>
          <w:rFonts w:ascii="Arial Black" w:hAnsi="Arial Black" w:cs="Arial Black"/>
          <w:b/>
          <w:sz w:val="32"/>
          <w:szCs w:val="32"/>
        </w:rPr>
      </w:pPr>
      <w:r w:rsidRPr="004D79F0">
        <w:rPr>
          <w:color w:val="000000"/>
          <w:sz w:val="20"/>
          <w:szCs w:val="20"/>
        </w:rPr>
        <w:t>Program nauczania techniki w szkole podstawowej” Jak to działa?”</w:t>
      </w:r>
      <w:r>
        <w:rPr>
          <w:color w:val="000000"/>
          <w:sz w:val="20"/>
          <w:szCs w:val="20"/>
        </w:rPr>
        <w:t xml:space="preserve"> </w:t>
      </w:r>
      <w:r w:rsidRPr="004D79F0">
        <w:rPr>
          <w:color w:val="000000"/>
          <w:sz w:val="20"/>
          <w:szCs w:val="20"/>
        </w:rPr>
        <w:t xml:space="preserve">Program nauczania uwzględniający treści z nowej podstawy programowej </w:t>
      </w:r>
      <w:r w:rsidRPr="004D79F0">
        <w:rPr>
          <w:color w:val="000000"/>
          <w:sz w:val="23"/>
          <w:szCs w:val="23"/>
        </w:rPr>
        <w:t xml:space="preserve">obowiązującej od 1 </w:t>
      </w:r>
      <w:r>
        <w:rPr>
          <w:color w:val="000000"/>
          <w:sz w:val="23"/>
          <w:szCs w:val="23"/>
        </w:rPr>
        <w:t xml:space="preserve"> </w:t>
      </w:r>
      <w:r w:rsidRPr="004D79F0">
        <w:rPr>
          <w:color w:val="000000"/>
          <w:sz w:val="23"/>
          <w:szCs w:val="23"/>
        </w:rPr>
        <w:t>września 2023 r.</w:t>
      </w:r>
      <w:r>
        <w:rPr>
          <w:color w:val="000000"/>
          <w:sz w:val="23"/>
          <w:szCs w:val="23"/>
        </w:rPr>
        <w:t xml:space="preserve"> autorstwa Marii i Lecha </w:t>
      </w:r>
      <w:proofErr w:type="spellStart"/>
      <w:r>
        <w:rPr>
          <w:color w:val="000000"/>
          <w:sz w:val="23"/>
          <w:szCs w:val="23"/>
        </w:rPr>
        <w:t>Łabłeckich</w:t>
      </w:r>
      <w:proofErr w:type="spellEnd"/>
      <w:r>
        <w:rPr>
          <w:color w:val="000000"/>
          <w:sz w:val="23"/>
          <w:szCs w:val="23"/>
        </w:rPr>
        <w:t xml:space="preserve"> </w:t>
      </w:r>
    </w:p>
    <w:p w14:paraId="3A6AF327" w14:textId="77777777" w:rsidR="004D79F0" w:rsidRPr="00037B84" w:rsidRDefault="004D79F0" w:rsidP="004D79F0">
      <w:pPr>
        <w:rPr>
          <w:rFonts w:ascii="Arial Black" w:hAnsi="Arial Black" w:cs="Arial Black"/>
          <w:b/>
          <w:sz w:val="20"/>
          <w:szCs w:val="20"/>
        </w:rPr>
      </w:pPr>
      <w:r w:rsidRPr="00037B84">
        <w:rPr>
          <w:rFonts w:ascii="Arial Black" w:hAnsi="Arial Black" w:cs="Arial Black"/>
          <w:b/>
          <w:sz w:val="20"/>
          <w:szCs w:val="20"/>
          <w:u w:val="single"/>
        </w:rPr>
        <w:t>Wymagania edukacyjne:</w:t>
      </w:r>
      <w:r w:rsidRPr="00037B84">
        <w:rPr>
          <w:rFonts w:ascii="Arial Black" w:hAnsi="Arial Black" w:cs="Arial Black"/>
          <w:b/>
          <w:sz w:val="20"/>
          <w:szCs w:val="20"/>
        </w:rPr>
        <w:t xml:space="preserve"> </w:t>
      </w:r>
    </w:p>
    <w:p w14:paraId="33FEEB4C" w14:textId="77777777" w:rsidR="004D79F0" w:rsidRPr="00037B84" w:rsidRDefault="004D79F0" w:rsidP="004D79F0">
      <w:pPr>
        <w:numPr>
          <w:ilvl w:val="0"/>
          <w:numId w:val="3"/>
        </w:numPr>
        <w:suppressAutoHyphens/>
        <w:spacing w:after="160"/>
        <w:rPr>
          <w:rFonts w:ascii="Arial Black" w:hAnsi="Arial Black" w:cs="Arial Black"/>
          <w:b/>
          <w:sz w:val="20"/>
          <w:szCs w:val="20"/>
        </w:rPr>
      </w:pPr>
      <w:r w:rsidRPr="00037B84">
        <w:rPr>
          <w:rFonts w:ascii="Arial Black" w:hAnsi="Arial Black" w:cs="Arial Black"/>
          <w:b/>
          <w:sz w:val="20"/>
          <w:szCs w:val="20"/>
        </w:rPr>
        <w:t>podstawowe (P) – ocena dobra, dostateczna, dopuszczająca</w:t>
      </w:r>
    </w:p>
    <w:p w14:paraId="55958B10" w14:textId="77777777" w:rsidR="004D79F0" w:rsidRPr="00037B84" w:rsidRDefault="004D79F0" w:rsidP="004D79F0">
      <w:pPr>
        <w:numPr>
          <w:ilvl w:val="0"/>
          <w:numId w:val="3"/>
        </w:numPr>
        <w:suppressAutoHyphens/>
        <w:spacing w:after="160"/>
        <w:rPr>
          <w:rFonts w:ascii="Arial Black" w:hAnsi="Arial Black" w:cs="Arial Black"/>
          <w:b/>
          <w:sz w:val="20"/>
          <w:szCs w:val="20"/>
        </w:rPr>
      </w:pPr>
      <w:r w:rsidRPr="00037B84">
        <w:rPr>
          <w:rFonts w:ascii="Arial Black" w:hAnsi="Arial Black" w:cs="Arial Black"/>
          <w:b/>
          <w:sz w:val="20"/>
          <w:szCs w:val="20"/>
        </w:rPr>
        <w:t>ponadpodstawowe (PP) – ocena celująca, bardzo dobra</w:t>
      </w:r>
    </w:p>
    <w:p w14:paraId="6504D773" w14:textId="77777777" w:rsidR="004D79F0" w:rsidRPr="00037B84" w:rsidRDefault="004D79F0" w:rsidP="004D79F0">
      <w:pPr>
        <w:rPr>
          <w:rFonts w:ascii="Arial Black" w:hAnsi="Arial Black" w:cs="Arial Black"/>
          <w:b/>
          <w:sz w:val="20"/>
          <w:szCs w:val="20"/>
        </w:rPr>
      </w:pPr>
      <w:r w:rsidRPr="00037B84">
        <w:rPr>
          <w:rFonts w:ascii="Arial Black" w:hAnsi="Arial Black" w:cs="Arial Black"/>
          <w:b/>
          <w:sz w:val="20"/>
          <w:szCs w:val="20"/>
        </w:rPr>
        <w:t xml:space="preserve">Ocena śródroczna jest określana na podstawie realizacji wymagań z I półrocza, ocena roczna polega na podsumowaniu osiągnięć edukacyjnych ucznia z zajęć edukacyjnych na podstawie wymagań z całego roku szkolnego (I </w:t>
      </w:r>
      <w:proofErr w:type="spellStart"/>
      <w:r w:rsidRPr="00037B84">
        <w:rPr>
          <w:rFonts w:ascii="Arial Black" w:hAnsi="Arial Black" w:cs="Arial Black"/>
          <w:b/>
          <w:sz w:val="20"/>
          <w:szCs w:val="20"/>
        </w:rPr>
        <w:t>i</w:t>
      </w:r>
      <w:proofErr w:type="spellEnd"/>
      <w:r w:rsidRPr="00037B84">
        <w:rPr>
          <w:rFonts w:ascii="Arial Black" w:hAnsi="Arial Black" w:cs="Arial Black"/>
          <w:b/>
          <w:sz w:val="20"/>
          <w:szCs w:val="20"/>
        </w:rPr>
        <w:t xml:space="preserve"> II półrocze)</w:t>
      </w:r>
    </w:p>
    <w:p w14:paraId="05CA5389" w14:textId="77777777" w:rsidR="004D79F0" w:rsidRDefault="004D79F0" w:rsidP="004D79F0">
      <w:pPr>
        <w:jc w:val="center"/>
        <w:rPr>
          <w:rFonts w:ascii="Arial Black" w:hAnsi="Arial Black" w:cs="Arial Black"/>
          <w:b/>
          <w:sz w:val="32"/>
          <w:szCs w:val="32"/>
        </w:rPr>
      </w:pPr>
      <w:r>
        <w:rPr>
          <w:rFonts w:ascii="Arial Black" w:hAnsi="Arial Black" w:cs="Arial Black"/>
          <w:b/>
          <w:sz w:val="32"/>
          <w:szCs w:val="32"/>
        </w:rPr>
        <w:t xml:space="preserve">               </w:t>
      </w:r>
    </w:p>
    <w:p w14:paraId="3DF372CE" w14:textId="77777777" w:rsidR="004D79F0" w:rsidRDefault="004D79F0" w:rsidP="004D79F0">
      <w:pPr>
        <w:jc w:val="center"/>
      </w:pPr>
      <w:r>
        <w:rPr>
          <w:rFonts w:ascii="Arial Black" w:hAnsi="Arial Black" w:cs="Arial Black"/>
          <w:b/>
          <w:sz w:val="32"/>
          <w:szCs w:val="32"/>
        </w:rPr>
        <w:t xml:space="preserve"> Wymagania edukacyjne na ocenę śródroczną i roczną</w:t>
      </w:r>
    </w:p>
    <w:p w14:paraId="3F881FFA" w14:textId="77777777" w:rsidR="004D79F0" w:rsidRDefault="004D79F0" w:rsidP="004D79F0">
      <w:pPr>
        <w:jc w:val="center"/>
      </w:pPr>
      <w:r>
        <w:rPr>
          <w:rFonts w:ascii="Arial Black" w:hAnsi="Arial Black" w:cs="Arial Black"/>
          <w:b/>
          <w:sz w:val="32"/>
          <w:szCs w:val="32"/>
        </w:rPr>
        <w:t>I półrocze</w:t>
      </w:r>
    </w:p>
    <w:p w14:paraId="39B22619" w14:textId="267E91EB" w:rsidR="004D79F0" w:rsidRPr="004D79F0" w:rsidRDefault="00000000" w:rsidP="004D79F0">
      <w:pPr>
        <w:pStyle w:val="NormalnyWeb"/>
        <w:spacing w:before="0" w:beforeAutospacing="0" w:after="0" w:afterAutospacing="0"/>
      </w:pPr>
      <w:r>
        <w:rPr>
          <w:b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32A1924E" w14:textId="103FD8E0" w:rsidR="00111F84" w:rsidRDefault="00111F84" w:rsidP="004D79F0">
      <w:pPr>
        <w:widowControl w:val="0"/>
        <w:rPr>
          <w:rFonts w:ascii="Times New Roman" w:eastAsia="Times New Roman" w:hAnsi="Times New Roman" w:cs="Times New Roman"/>
          <w:lang w:eastAsia="pl-PL"/>
        </w:rPr>
      </w:pPr>
    </w:p>
    <w:p w14:paraId="7B7681F7" w14:textId="77777777" w:rsidR="00111F84" w:rsidRDefault="00000000">
      <w:pPr>
        <w:spacing w:after="120"/>
        <w:jc w:val="center"/>
        <w:rPr>
          <w:rFonts w:hint="eastAsia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  <w:t>I półrocze</w:t>
      </w:r>
    </w:p>
    <w:p w14:paraId="0C64D373" w14:textId="77777777" w:rsidR="00111F84" w:rsidRDefault="00111F84">
      <w:pPr>
        <w:widowControl w:val="0"/>
        <w:rPr>
          <w:rFonts w:ascii="Times New Roman" w:hAnsi="Times New Roman" w:cs="Times New Roman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tbl>
      <w:tblPr>
        <w:tblW w:w="15735" w:type="dxa"/>
        <w:tblInd w:w="-1046" w:type="dxa"/>
        <w:tblBorders>
          <w:top w:val="single" w:sz="4" w:space="0" w:color="000001"/>
          <w:left w:val="single" w:sz="4" w:space="0" w:color="000001"/>
        </w:tblBorders>
        <w:tblCellMar>
          <w:left w:w="83" w:type="dxa"/>
        </w:tblCellMar>
        <w:tblLook w:val="0000" w:firstRow="0" w:lastRow="0" w:firstColumn="0" w:lastColumn="0" w:noHBand="0" w:noVBand="0"/>
      </w:tblPr>
      <w:tblGrid>
        <w:gridCol w:w="1750"/>
        <w:gridCol w:w="710"/>
        <w:gridCol w:w="3260"/>
        <w:gridCol w:w="5054"/>
        <w:gridCol w:w="3687"/>
        <w:gridCol w:w="1274"/>
      </w:tblGrid>
      <w:tr w:rsidR="00111F84" w14:paraId="5FAA7494" w14:textId="77777777">
        <w:trPr>
          <w:trHeight w:val="777"/>
          <w:tblHeader/>
        </w:trPr>
        <w:tc>
          <w:tcPr>
            <w:tcW w:w="1749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14:paraId="131099DA" w14:textId="77777777" w:rsidR="00111F84" w:rsidRDefault="00000000">
            <w:pPr>
              <w:widowControl w:val="0"/>
              <w:jc w:val="center"/>
              <w:rPr>
                <w:rFonts w:hint="eastAsia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Temat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14:paraId="7EEB0713" w14:textId="77777777" w:rsidR="00111F84" w:rsidRDefault="00000000">
            <w:pPr>
              <w:widowControl w:val="0"/>
              <w:jc w:val="center"/>
              <w:rPr>
                <w:rFonts w:hint="eastAsia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Liczba godzin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14:paraId="197B5DAA" w14:textId="77777777" w:rsidR="00111F84" w:rsidRDefault="00000000">
            <w:pPr>
              <w:widowControl w:val="0"/>
              <w:jc w:val="center"/>
              <w:rPr>
                <w:rFonts w:hint="eastAsia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Treści nauczania</w:t>
            </w:r>
          </w:p>
        </w:tc>
        <w:tc>
          <w:tcPr>
            <w:tcW w:w="505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14:paraId="2CC4FCAE" w14:textId="77777777" w:rsidR="00111F84" w:rsidRDefault="00000000">
            <w:pPr>
              <w:widowControl w:val="0"/>
              <w:jc w:val="center"/>
              <w:rPr>
                <w:rFonts w:hint="eastAsia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Wymagania podstawowe</w:t>
            </w:r>
          </w:p>
          <w:p w14:paraId="1C1E6259" w14:textId="18D6198B" w:rsidR="00111F84" w:rsidRDefault="00000000">
            <w:pPr>
              <w:widowControl w:val="0"/>
              <w:jc w:val="center"/>
              <w:rPr>
                <w:rFonts w:hint="eastAsia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poziomy oceniania 2 </w:t>
            </w:r>
            <w:r w:rsidR="004D79F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–</w:t>
            </w: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3</w:t>
            </w:r>
            <w:r w:rsidR="004D79F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,4</w:t>
            </w:r>
          </w:p>
        </w:tc>
        <w:tc>
          <w:tcPr>
            <w:tcW w:w="3687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14:paraId="54AFC094" w14:textId="77777777" w:rsidR="00111F84" w:rsidRDefault="00000000">
            <w:pPr>
              <w:widowControl w:val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Wymagania ponadpodstawowe </w:t>
            </w:r>
          </w:p>
          <w:p w14:paraId="757BDC35" w14:textId="29D8D888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                     poziomy oceniania </w:t>
            </w:r>
            <w:r w:rsidR="004D79F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- 6</w:t>
            </w:r>
          </w:p>
        </w:tc>
        <w:tc>
          <w:tcPr>
            <w:tcW w:w="127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bottom"/>
          </w:tcPr>
          <w:p w14:paraId="2BBBD36B" w14:textId="77777777" w:rsidR="00111F84" w:rsidRDefault="00000000">
            <w:pPr>
              <w:widowControl w:val="0"/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Odniesienia do podstawy programowej</w:t>
            </w:r>
          </w:p>
        </w:tc>
      </w:tr>
      <w:tr w:rsidR="00111F84" w14:paraId="2D9F659B" w14:textId="77777777">
        <w:trPr>
          <w:trHeight w:val="297"/>
        </w:trPr>
        <w:tc>
          <w:tcPr>
            <w:tcW w:w="15734" w:type="dxa"/>
            <w:gridSpan w:val="6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14:paraId="29474143" w14:textId="77777777" w:rsidR="00111F84" w:rsidRDefault="00000000">
            <w:pPr>
              <w:widowControl w:val="0"/>
              <w:ind w:left="244" w:hanging="244"/>
              <w:jc w:val="center"/>
              <w:rPr>
                <w:rFonts w:hint="eastAsia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1. TECHNIKA W NAJBLIŻSZYM OTOCZENIU</w:t>
            </w:r>
          </w:p>
        </w:tc>
      </w:tr>
      <w:tr w:rsidR="00111F84" w14:paraId="2224F701" w14:textId="77777777">
        <w:trPr>
          <w:trHeight w:val="1522"/>
        </w:trPr>
        <w:tc>
          <w:tcPr>
            <w:tcW w:w="1749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5709C2F9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1. Na osiedlu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2C89B83A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3A6D66E2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plan osiedla</w:t>
            </w:r>
          </w:p>
          <w:p w14:paraId="1210AF77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budynki i obiekty na osiedlu</w:t>
            </w:r>
          </w:p>
          <w:p w14:paraId="25282706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infrastruktura osiedla</w:t>
            </w:r>
          </w:p>
        </w:tc>
        <w:tc>
          <w:tcPr>
            <w:tcW w:w="505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106DCCE7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rozpoznaje obiekty na planie osiedla</w:t>
            </w:r>
          </w:p>
          <w:p w14:paraId="5F5A647A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współpracuje z grupą i podejmuje różne zadania w zespole</w:t>
            </w:r>
          </w:p>
          <w:p w14:paraId="29CD7CC1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świadomie i odpowiedzialnie używa wytworów technicznych</w:t>
            </w:r>
          </w:p>
          <w:p w14:paraId="4B37C92F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wymienia nazwy instalacji osiedlowych</w:t>
            </w:r>
          </w:p>
          <w:p w14:paraId="362DFE72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przyporządkowuje urządzenia do instalacji, których są częścią</w:t>
            </w:r>
          </w:p>
        </w:tc>
        <w:tc>
          <w:tcPr>
            <w:tcW w:w="3687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1D87243F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planuje działania prowadzące do udoskonalenia osiedla mieszkalnego</w:t>
            </w:r>
          </w:p>
          <w:p w14:paraId="64864DA4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projektuje idealne osiedle i uzasadnia swoją propozycję</w:t>
            </w:r>
          </w:p>
        </w:tc>
        <w:tc>
          <w:tcPr>
            <w:tcW w:w="127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0F5D74BB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1.5,6-10</w:t>
            </w:r>
          </w:p>
          <w:p w14:paraId="0F53EFD8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VI. 1, 5</w:t>
            </w:r>
          </w:p>
        </w:tc>
      </w:tr>
      <w:tr w:rsidR="00111F84" w14:paraId="7B4C977C" w14:textId="77777777">
        <w:trPr>
          <w:trHeight w:val="1522"/>
        </w:trPr>
        <w:tc>
          <w:tcPr>
            <w:tcW w:w="1749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7F24AA6A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lastRenderedPageBreak/>
              <w:t>2. Dom bez tajemnic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3CAAA888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7A104557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rodzaje budynków mieszkalnych</w:t>
            </w:r>
          </w:p>
          <w:p w14:paraId="5D4115F0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etapy budowy domu</w:t>
            </w:r>
          </w:p>
          <w:p w14:paraId="24F3716E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zawody związane z budową domów</w:t>
            </w:r>
          </w:p>
          <w:p w14:paraId="2A534940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elementy konstrukcyjne budynków mieszkalnych</w:t>
            </w:r>
          </w:p>
          <w:p w14:paraId="582DF03E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projektowanie i budowa domu</w:t>
            </w:r>
          </w:p>
          <w:p w14:paraId="75666C1D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dokumentacja techniczna</w:t>
            </w:r>
          </w:p>
          <w:p w14:paraId="754E7C75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inteligentny dom</w:t>
            </w:r>
          </w:p>
        </w:tc>
        <w:tc>
          <w:tcPr>
            <w:tcW w:w="505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5F09924F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rozpoznaje osiągnięcia techniczne, które przysłużyły się rozwojowi postępu technicznego i komfortowi życia</w:t>
            </w:r>
          </w:p>
          <w:p w14:paraId="0D3EB9A4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klasyfikuje budowlane elementy techniczne</w:t>
            </w:r>
          </w:p>
          <w:p w14:paraId="3A64935B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posługuje się słownictwem technicznym</w:t>
            </w:r>
          </w:p>
          <w:p w14:paraId="3F75EE8A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posługuje się rysunkiem technicznym budowlanym</w:t>
            </w:r>
          </w:p>
          <w:p w14:paraId="2A4CEDDD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wymienia nazwy elementów konstrukcyjnych budynków mieszkalnych</w:t>
            </w:r>
          </w:p>
          <w:p w14:paraId="644E06EF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omawia zalety inteligentnego domu</w:t>
            </w:r>
          </w:p>
        </w:tc>
        <w:tc>
          <w:tcPr>
            <w:tcW w:w="3687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206CDBE3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wskazuje zalety i wady poszczególnych rodzajów budynków mieszkalnych</w:t>
            </w:r>
          </w:p>
          <w:p w14:paraId="0B3C5DDF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omawia kolejne etapy budowy domu</w:t>
            </w:r>
          </w:p>
          <w:p w14:paraId="25E9F5A7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podaje nazwy zawodów związanych z budową domów</w:t>
            </w:r>
          </w:p>
        </w:tc>
        <w:tc>
          <w:tcPr>
            <w:tcW w:w="127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1B81BFA4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1.5,6, 10</w:t>
            </w:r>
          </w:p>
          <w:p w14:paraId="5BA1C45A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III.1-3, 5, 7</w:t>
            </w:r>
          </w:p>
          <w:p w14:paraId="67F69F5D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IV.1, 5</w:t>
            </w:r>
          </w:p>
        </w:tc>
      </w:tr>
      <w:tr w:rsidR="00111F84" w14:paraId="06452466" w14:textId="77777777">
        <w:trPr>
          <w:trHeight w:val="1166"/>
        </w:trPr>
        <w:tc>
          <w:tcPr>
            <w:tcW w:w="1749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445C750B" w14:textId="77777777" w:rsidR="00111F84" w:rsidRDefault="00000000">
            <w:pPr>
              <w:widowControl w:val="0"/>
              <w:ind w:left="244" w:hanging="244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3. W pokoju nastolatka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2A0310B9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52A547FF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planowanie umeblowania i wyposażenia pokoju ucznia</w:t>
            </w:r>
          </w:p>
          <w:p w14:paraId="29C7E3B8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zasady funkcjonalnego urządzenia pokoju</w:t>
            </w:r>
          </w:p>
          <w:p w14:paraId="7477DAC3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kreatywne urządzanie i dekorowanie pokoju</w:t>
            </w:r>
          </w:p>
          <w:p w14:paraId="351071A3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renowacja mebli</w:t>
            </w:r>
          </w:p>
        </w:tc>
        <w:tc>
          <w:tcPr>
            <w:tcW w:w="505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52E44B5D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omawia zasady funkcjonalnego urządzenia pokoju</w:t>
            </w:r>
          </w:p>
          <w:p w14:paraId="1B2BFDC3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rysuje plan swojego pokoju</w:t>
            </w:r>
          </w:p>
          <w:p w14:paraId="01B2E68E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planuje kolejność działań</w:t>
            </w:r>
          </w:p>
          <w:p w14:paraId="4743785A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właściwie dobiera narzędzia do obróbki drewna</w:t>
            </w:r>
          </w:p>
          <w:p w14:paraId="026CF955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sprawnie posługuje się podstawowymi narzędziami do obróbki ręcznej</w:t>
            </w:r>
          </w:p>
        </w:tc>
        <w:tc>
          <w:tcPr>
            <w:tcW w:w="3687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29A5D3D3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wyróżnia w pokoju strefy do nauki, wypoczynku i zabawy</w:t>
            </w:r>
          </w:p>
          <w:p w14:paraId="59BC03FE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dostosowuje wysokość biurka i krzesła do swojego wzrostu</w:t>
            </w:r>
          </w:p>
          <w:p w14:paraId="1CF21CEA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projektuje wnętrze pokoju swoich marzeń</w:t>
            </w:r>
          </w:p>
        </w:tc>
        <w:tc>
          <w:tcPr>
            <w:tcW w:w="127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0F4BF73B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IV.</w:t>
            </w:r>
          </w:p>
          <w:p w14:paraId="70584B14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V1-3</w:t>
            </w:r>
          </w:p>
        </w:tc>
      </w:tr>
      <w:tr w:rsidR="00111F84" w14:paraId="4415876C" w14:textId="77777777">
        <w:trPr>
          <w:trHeight w:val="2107"/>
        </w:trPr>
        <w:tc>
          <w:tcPr>
            <w:tcW w:w="17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25920059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sz w:val="18"/>
                <w:szCs w:val="18"/>
              </w:rPr>
              <w:t>To takie proste! - Kokarda na Święto Niepodległości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6D241F03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sz w:val="18"/>
                <w:szCs w:val="18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1DC69746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planowanie etapów pracy</w:t>
            </w:r>
          </w:p>
          <w:p w14:paraId="66A62288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przygotowywanie dokumentacji rysunkowej</w:t>
            </w:r>
          </w:p>
          <w:p w14:paraId="0E87ADE6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organizacja miejsca pracy</w:t>
            </w:r>
          </w:p>
          <w:p w14:paraId="06271904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narzędzia do obróbki papieru i tkanin</w:t>
            </w:r>
          </w:p>
          <w:p w14:paraId="24F7545E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montaż poszczególnych części w całość</w:t>
            </w:r>
          </w:p>
          <w:p w14:paraId="3F6C708B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przestrzeganie zasad BHP na stanowisku pracy</w:t>
            </w:r>
          </w:p>
        </w:tc>
        <w:tc>
          <w:tcPr>
            <w:tcW w:w="5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14:paraId="3E264888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prawidłowo organizuje stanowisko pracy</w:t>
            </w:r>
          </w:p>
          <w:p w14:paraId="5DB9608C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wypisuje kolejność działań i szacuje czas ich trwania</w:t>
            </w:r>
          </w:p>
          <w:p w14:paraId="2BB9BE37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właściwie dobiera narzędzia do obróbki papieru i tkanin</w:t>
            </w:r>
          </w:p>
          <w:p w14:paraId="0FC31847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wykonuje prace z należytą starannością i dbałością</w:t>
            </w:r>
          </w:p>
          <w:p w14:paraId="4A871C88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dokonuje montażu poszczególnych elementów w całość</w:t>
            </w:r>
          </w:p>
          <w:p w14:paraId="3C5E64D9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dba o porządek i bezpieczeństwo w miejscu pracy</w:t>
            </w:r>
          </w:p>
          <w:p w14:paraId="0C4FB1B3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formułuje i uzasadnia ocenę gotowej pracy</w:t>
            </w:r>
          </w:p>
          <w:p w14:paraId="6860E3D6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ocenia swoje predyspozycje techniczne w kontekście wyboru przyszłego kierunku kształcenia</w:t>
            </w:r>
          </w:p>
          <w:p w14:paraId="68117157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hint="eastAsia"/>
              </w:rPr>
            </w:pPr>
            <w:r>
              <w:rPr>
                <w:rFonts w:ascii="Calibri" w:hAnsi="Calibri"/>
                <w:sz w:val="18"/>
                <w:szCs w:val="18"/>
              </w:rPr>
              <w:t>rozwija zainteresowania techniczne</w:t>
            </w:r>
          </w:p>
        </w:tc>
        <w:tc>
          <w:tcPr>
            <w:tcW w:w="3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00360654" w14:textId="77777777" w:rsidR="00111F84" w:rsidRDefault="00111F84">
            <w:pPr>
              <w:widowControl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339D7153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sz w:val="18"/>
                <w:szCs w:val="18"/>
              </w:rPr>
              <w:t>III.1-8</w:t>
            </w:r>
          </w:p>
          <w:p w14:paraId="3A114875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sz w:val="18"/>
                <w:szCs w:val="18"/>
              </w:rPr>
              <w:t>VI. 1-5, 8, 9</w:t>
            </w:r>
          </w:p>
        </w:tc>
      </w:tr>
      <w:tr w:rsidR="00111F84" w14:paraId="133D6455" w14:textId="77777777">
        <w:trPr>
          <w:trHeight w:val="2429"/>
        </w:trPr>
        <w:tc>
          <w:tcPr>
            <w:tcW w:w="1749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08F908B0" w14:textId="77777777" w:rsidR="00111F84" w:rsidRDefault="00000000">
            <w:pPr>
              <w:widowControl w:val="0"/>
              <w:ind w:left="244" w:hanging="244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4. Instalacje i opłaty domowe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54CF023B" w14:textId="77777777" w:rsidR="00111F84" w:rsidRDefault="00000000">
            <w:pPr>
              <w:widowControl w:val="0"/>
              <w:ind w:hanging="39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2495776A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terminy: instalacja, elektrownia, tablica rozdzielcza, bezpieczniki, ergonomia</w:t>
            </w:r>
          </w:p>
          <w:p w14:paraId="1512D927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budowa i zasady działania poszczególnych instalacji domowych</w:t>
            </w:r>
          </w:p>
          <w:p w14:paraId="0F217720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charakterystyka urządzeń pomiarowych stosowanych w gospodarstwie domowym</w:t>
            </w:r>
          </w:p>
          <w:p w14:paraId="11E3C4D2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zasady odczytywania wskazań liczników wody, gazu i energii elektrycznej</w:t>
            </w:r>
          </w:p>
          <w:p w14:paraId="6A02569F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obliczanie zużycia poszczególnych zasobów</w:t>
            </w:r>
          </w:p>
          <w:p w14:paraId="76C203A6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zasady oszczędnego gospodarowania </w:t>
            </w:r>
            <w:r>
              <w:rPr>
                <w:rFonts w:ascii="Calibri" w:hAnsi="Calibri"/>
                <w:sz w:val="18"/>
                <w:szCs w:val="18"/>
              </w:rPr>
              <w:lastRenderedPageBreak/>
              <w:t>energią</w:t>
            </w:r>
          </w:p>
          <w:p w14:paraId="0C12FB1B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rodzaje obwodów elektrycznych</w:t>
            </w:r>
          </w:p>
          <w:p w14:paraId="4F3801C4" w14:textId="77777777" w:rsidR="00111F84" w:rsidRDefault="00000000">
            <w:pPr>
              <w:widowControl w:val="0"/>
              <w:tabs>
                <w:tab w:val="left" w:pos="214"/>
              </w:tabs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•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ab/>
              <w:t>elementy obwodu elektrycznego</w:t>
            </w:r>
          </w:p>
        </w:tc>
        <w:tc>
          <w:tcPr>
            <w:tcW w:w="505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32A89691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lastRenderedPageBreak/>
              <w:t>wymienia nazwy elementów poszczególnych instalacji</w:t>
            </w:r>
          </w:p>
          <w:p w14:paraId="08A514C4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omawia zasady działania różnych instalacji</w:t>
            </w:r>
          </w:p>
          <w:p w14:paraId="401A5FBF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rozpoznaje rodzaje liczników</w:t>
            </w:r>
          </w:p>
          <w:p w14:paraId="4ED7F33C" w14:textId="77777777" w:rsidR="00111F84" w:rsidRDefault="00000000">
            <w:pPr>
              <w:widowControl w:val="0"/>
              <w:tabs>
                <w:tab w:val="left" w:pos="218"/>
              </w:tabs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•</w:t>
            </w:r>
            <w:r>
              <w:rPr>
                <w:rFonts w:ascii="Calibri" w:hAnsi="Calibri"/>
                <w:sz w:val="18"/>
                <w:szCs w:val="18"/>
              </w:rPr>
              <w:tab/>
              <w:t>prawidłowo odczytuje wskazania liczników</w:t>
            </w:r>
          </w:p>
          <w:p w14:paraId="4D9B1E43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podaje praktyczne sposoby zmniejszenia zużycia prądu, gazu i wody</w:t>
            </w:r>
          </w:p>
          <w:p w14:paraId="52E4C588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oblicza koszt zużycia poszczególnych zasobów</w:t>
            </w:r>
          </w:p>
          <w:p w14:paraId="2D7AE067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dokonuje pomiaru zużycia prądu, wody i gazu w określonym przedziale czasowym</w:t>
            </w:r>
          </w:p>
          <w:p w14:paraId="5DFF9BC5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nazywa elementy obwodów elektrycznych</w:t>
            </w:r>
          </w:p>
          <w:p w14:paraId="3207B1EE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rozróżnia symbole elementów obwodów elektrycznych</w:t>
            </w:r>
          </w:p>
          <w:p w14:paraId="6C41B75F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hint="eastAsia"/>
              </w:rPr>
            </w:pPr>
            <w:r>
              <w:rPr>
                <w:rFonts w:ascii="Calibri" w:hAnsi="Calibri"/>
                <w:sz w:val="18"/>
                <w:szCs w:val="18"/>
              </w:rPr>
              <w:t>konstruuje z gotowych elementów elektrotechnicznych obwód elektryczny według schematu</w:t>
            </w:r>
          </w:p>
        </w:tc>
        <w:tc>
          <w:tcPr>
            <w:tcW w:w="3687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3024B564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określa funkcję poszczególnych instalacji występujących w budynku</w:t>
            </w:r>
          </w:p>
          <w:p w14:paraId="0B4F9D2A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ind w:left="360" w:hanging="360"/>
              <w:rPr>
                <w:rFonts w:hint="eastAsia"/>
              </w:rPr>
            </w:pPr>
            <w:r>
              <w:rPr>
                <w:rFonts w:ascii="Calibri" w:hAnsi="Calibri"/>
                <w:sz w:val="18"/>
                <w:szCs w:val="18"/>
              </w:rPr>
              <w:t>wykrywa, ocenia i usuwa nieprawidłowości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w działaniu instalacji</w:t>
            </w:r>
          </w:p>
        </w:tc>
        <w:tc>
          <w:tcPr>
            <w:tcW w:w="127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084D13F3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I.6, 8-10</w:t>
            </w:r>
          </w:p>
          <w:p w14:paraId="100313E4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IV.6</w:t>
            </w:r>
          </w:p>
          <w:p w14:paraId="611ED7A9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VI.2</w:t>
            </w:r>
          </w:p>
          <w:p w14:paraId="77445352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VI.6, 7</w:t>
            </w:r>
          </w:p>
        </w:tc>
      </w:tr>
      <w:tr w:rsidR="00111F84" w14:paraId="15E64640" w14:textId="77777777">
        <w:trPr>
          <w:trHeight w:val="2064"/>
        </w:trPr>
        <w:tc>
          <w:tcPr>
            <w:tcW w:w="1749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353EC7F4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To takie proste! - Dekoracyjna kula świetlna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4489A286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6F2CC213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rozpoznawanie potrzeby wykonania wytworu technicznego</w:t>
            </w:r>
          </w:p>
          <w:p w14:paraId="231E331D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planowanie etapów pracy</w:t>
            </w:r>
          </w:p>
          <w:p w14:paraId="589B9BB4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organizacja miejsca pracy</w:t>
            </w:r>
          </w:p>
          <w:p w14:paraId="64B11CC2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narzędzia do obróbki tkanin</w:t>
            </w:r>
          </w:p>
          <w:p w14:paraId="79A92C8B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montaż poszczególnych części w całość</w:t>
            </w:r>
          </w:p>
          <w:p w14:paraId="6A1ECA2D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hint="eastAsia"/>
              </w:rPr>
            </w:pPr>
            <w:r>
              <w:rPr>
                <w:rFonts w:ascii="Calibri" w:hAnsi="Calibri"/>
                <w:sz w:val="18"/>
                <w:szCs w:val="18"/>
              </w:rPr>
              <w:t>przestrzeganie zasad BHP na stanowisku pracy</w:t>
            </w:r>
          </w:p>
        </w:tc>
        <w:tc>
          <w:tcPr>
            <w:tcW w:w="505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bottom"/>
          </w:tcPr>
          <w:p w14:paraId="3A3F1FF4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prawidłowo organizuje stanowisko pracy</w:t>
            </w:r>
          </w:p>
          <w:p w14:paraId="22B993EE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wypisuje kolejność działań i szacuje czas ich trwania</w:t>
            </w:r>
          </w:p>
          <w:p w14:paraId="446CE575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właściwie dobiera narzędzia</w:t>
            </w:r>
          </w:p>
          <w:p w14:paraId="20AB84BC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sprawnie posługuje się podstawowymi narzędziami do obróbki ręcznej</w:t>
            </w:r>
          </w:p>
          <w:p w14:paraId="6F0FE1DB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wykonuje prace z należytą starannością i dbałością</w:t>
            </w:r>
          </w:p>
          <w:p w14:paraId="4F588C4A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dokonuje montażu poszczególnych elementów w całość</w:t>
            </w:r>
          </w:p>
          <w:p w14:paraId="130AC4EF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dba o porządek i bezpieczeństwo w miejscu pracy</w:t>
            </w:r>
          </w:p>
          <w:p w14:paraId="1F31B455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formułuje i uzasadnia ocenę gotowej pracy</w:t>
            </w:r>
          </w:p>
          <w:p w14:paraId="50DFDA80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ocenia swoje predyspozycje techniczne w kontekście wyboru przyszłego kierunku kształcenia</w:t>
            </w:r>
          </w:p>
        </w:tc>
        <w:tc>
          <w:tcPr>
            <w:tcW w:w="3687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36CE2E20" w14:textId="77777777" w:rsidR="00111F84" w:rsidRDefault="00111F84">
            <w:pPr>
              <w:widowControl w:val="0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1ECC625C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III.1-8</w:t>
            </w:r>
          </w:p>
          <w:p w14:paraId="21E62A02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VI.1-5, 8, 9</w:t>
            </w:r>
          </w:p>
        </w:tc>
      </w:tr>
      <w:tr w:rsidR="00111F84" w14:paraId="3A6B6301" w14:textId="77777777">
        <w:trPr>
          <w:trHeight w:val="2438"/>
        </w:trPr>
        <w:tc>
          <w:tcPr>
            <w:tcW w:w="17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3E21CF94" w14:textId="77777777" w:rsidR="00111F84" w:rsidRDefault="00000000">
            <w:pPr>
              <w:widowControl w:val="0"/>
              <w:ind w:left="244" w:hanging="244"/>
              <w:rPr>
                <w:rFonts w:hint="eastAsia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5.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Domowe</w:t>
            </w:r>
            <w:r>
              <w:rPr>
                <w:rFonts w:ascii="Calibri" w:hAnsi="Calibri"/>
                <w:sz w:val="18"/>
                <w:szCs w:val="18"/>
              </w:rPr>
              <w:t xml:space="preserve"> urządzenia elektryczne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322541CD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sz w:val="18"/>
                <w:szCs w:val="18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5A5A1190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instrukcja obsługi sprzętu gospodarstwa domowego</w:t>
            </w:r>
          </w:p>
          <w:p w14:paraId="4C60B514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zasady działania kuchenki elektrycznej, gazowej i mikrofalowej, chłodziarko-zamrażarki, zmywarki oraz pralki automatycznej</w:t>
            </w:r>
          </w:p>
          <w:p w14:paraId="350F8C18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zastosowanie sprzętu gospodarstwa domowego</w:t>
            </w:r>
          </w:p>
          <w:p w14:paraId="307E47AA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hint="eastAsia"/>
              </w:rPr>
            </w:pPr>
            <w:r>
              <w:rPr>
                <w:rFonts w:ascii="Calibri" w:hAnsi="Calibri"/>
                <w:sz w:val="18"/>
                <w:szCs w:val="18"/>
              </w:rPr>
              <w:t>budowa i bezpieczna obsługa podstawowych urządzeń gospodarstwa domowego</w:t>
            </w:r>
          </w:p>
        </w:tc>
        <w:tc>
          <w:tcPr>
            <w:tcW w:w="5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77902184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określa funkcje urządzeń domowych</w:t>
            </w:r>
          </w:p>
          <w:p w14:paraId="6F62C035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czyta ze zrozumieniem instrukcje obsługi i bezpiecznego użytkowania wybranych sprzętów gospodarstwa domowego</w:t>
            </w:r>
          </w:p>
          <w:p w14:paraId="3A74A9D0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wyszukuje i interpretuje informacje techniczne na urządzeniach i opakowaniach</w:t>
            </w:r>
          </w:p>
          <w:p w14:paraId="28A37472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wyjaśnia zasady działania wskazanych urządzeń</w:t>
            </w:r>
          </w:p>
          <w:p w14:paraId="21B6F1C3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omawia budowę wybranych urządzeń</w:t>
            </w:r>
          </w:p>
          <w:p w14:paraId="02659019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wymienia zagrożenia związane z eksploatacją sprzętu AGD</w:t>
            </w:r>
          </w:p>
          <w:p w14:paraId="0D55C2C9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reguluje sprzęt gospodarstwa domowego</w:t>
            </w:r>
          </w:p>
          <w:p w14:paraId="2E1E593D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sprawnie i bezpiecznie posługuje się urządzeniami elektrycznymi</w:t>
            </w:r>
          </w:p>
        </w:tc>
        <w:tc>
          <w:tcPr>
            <w:tcW w:w="3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5D5236D1" w14:textId="77777777" w:rsidR="00111F84" w:rsidRDefault="00111F84">
            <w:pPr>
              <w:widowControl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360DCD53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sz w:val="18"/>
                <w:szCs w:val="18"/>
              </w:rPr>
              <w:t>III.1-4</w:t>
            </w:r>
          </w:p>
          <w:p w14:paraId="4A8ABFC5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sz w:val="18"/>
                <w:szCs w:val="18"/>
              </w:rPr>
              <w:t>VI, 2</w:t>
            </w:r>
          </w:p>
          <w:p w14:paraId="47EBC182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sz w:val="18"/>
                <w:szCs w:val="18"/>
              </w:rPr>
              <w:t>VI.6</w:t>
            </w:r>
          </w:p>
        </w:tc>
      </w:tr>
      <w:tr w:rsidR="00111F84" w14:paraId="44E4B225" w14:textId="77777777">
        <w:trPr>
          <w:trHeight w:val="3331"/>
        </w:trPr>
        <w:tc>
          <w:tcPr>
            <w:tcW w:w="1749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44C201D8" w14:textId="77777777" w:rsidR="00111F84" w:rsidRDefault="00000000">
            <w:pPr>
              <w:widowControl w:val="0"/>
              <w:ind w:left="244" w:hanging="244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lastRenderedPageBreak/>
              <w:t>6. Nowoczesny sprzęt na co dzień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61CD8532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247BC52E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potrafi sklasyfikować nowoczesny sprzęt elektryczny</w:t>
            </w:r>
          </w:p>
          <w:p w14:paraId="3B482C69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czyta i interpretuje informacje zamieszczone w instrukcjach obsługi urządzeń</w:t>
            </w:r>
          </w:p>
          <w:p w14:paraId="5ADC828C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omawia zastosowanie wybranych urządzeń elektronicznych</w:t>
            </w:r>
          </w:p>
          <w:p w14:paraId="58891CDC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reguluje urządzenia techniczne</w:t>
            </w:r>
          </w:p>
          <w:p w14:paraId="1F250242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omawia zasady obsługi wybranych urządzeń</w:t>
            </w:r>
          </w:p>
          <w:p w14:paraId="69D46BC0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wyszukuje informacje na temat nowoczesnego sprzętu domowego</w:t>
            </w:r>
          </w:p>
          <w:p w14:paraId="1536936C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śledzi postęp techniczny</w:t>
            </w:r>
          </w:p>
          <w:p w14:paraId="69C25493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interpretuje informacje dotyczące bezpiecznej eksploatacji urządzeń technicznych i ich bezawaryjności</w:t>
            </w:r>
          </w:p>
          <w:p w14:paraId="5F336A09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wie, jak postępować ze zużytymi urządzeniami elektrycznymi</w:t>
            </w:r>
          </w:p>
          <w:p w14:paraId="5277C4EB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rozpoznaje osiągnięcia techniczne, które przysłużyły się rozwojowi postępu technicznego, a tym samym człowiekowi</w:t>
            </w:r>
          </w:p>
        </w:tc>
        <w:tc>
          <w:tcPr>
            <w:tcW w:w="505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57CA498E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potrafi sklasyfikować nowoczesny sprzęt elektryczny</w:t>
            </w:r>
          </w:p>
          <w:p w14:paraId="0674B2CB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czyta i interpretuje informacje zamieszczone w instrukcjach obsługi urządzeń</w:t>
            </w:r>
          </w:p>
          <w:p w14:paraId="45FBBFEE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omawia zastosowanie wybranych urządzeń elektronicznych</w:t>
            </w:r>
          </w:p>
          <w:p w14:paraId="65FEF16A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reguluje urządzenia techniczne</w:t>
            </w:r>
          </w:p>
          <w:p w14:paraId="00805531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omawia zasady obsługi wybranych urządzeń</w:t>
            </w:r>
          </w:p>
          <w:p w14:paraId="5650D892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wyszukuje informacje na temat nowoczesnego sprzętu domowego</w:t>
            </w:r>
          </w:p>
          <w:p w14:paraId="7691337A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śledzi postęp techniczny</w:t>
            </w:r>
          </w:p>
          <w:p w14:paraId="3B70BDD7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interpretuje informacje dotyczące bezpiecznej eksploatacji urządzeń technicznych i ich bezawaryjności</w:t>
            </w:r>
          </w:p>
          <w:p w14:paraId="6F2FB7F2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wie, jak postępować ze zużytymi urządzeniami elektrycznymi</w:t>
            </w:r>
          </w:p>
          <w:p w14:paraId="14B0ACC3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rozpoznaje osiągnięcia techniczne, które przysłużyły się rozwojowi postępu technicznego, a tym samym człowiekowi</w:t>
            </w:r>
          </w:p>
        </w:tc>
        <w:tc>
          <w:tcPr>
            <w:tcW w:w="3687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58E07367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hint="eastAsia"/>
              </w:rPr>
            </w:pPr>
            <w:r>
              <w:rPr>
                <w:rFonts w:ascii="Calibri" w:hAnsi="Calibri"/>
                <w:sz w:val="18"/>
                <w:szCs w:val="18"/>
              </w:rPr>
              <w:t>charakteryzuje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budowę określonego sprzętu audiowizualnego</w:t>
            </w:r>
          </w:p>
        </w:tc>
        <w:tc>
          <w:tcPr>
            <w:tcW w:w="127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35B829F5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I.9</w:t>
            </w:r>
          </w:p>
          <w:p w14:paraId="752E7949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III.4</w:t>
            </w:r>
          </w:p>
          <w:p w14:paraId="12EFEB32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VI.2</w:t>
            </w:r>
          </w:p>
          <w:p w14:paraId="191E9271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VI.6</w:t>
            </w:r>
          </w:p>
        </w:tc>
      </w:tr>
      <w:tr w:rsidR="00111F84" w14:paraId="31345789" w14:textId="77777777">
        <w:trPr>
          <w:trHeight w:val="3331"/>
        </w:trPr>
        <w:tc>
          <w:tcPr>
            <w:tcW w:w="15734" w:type="dxa"/>
            <w:gridSpan w:val="6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14931F05" w14:textId="77777777" w:rsidR="00111F84" w:rsidRDefault="00111F84">
            <w:pPr>
              <w:widowControl w:val="0"/>
              <w:rPr>
                <w:rFonts w:ascii="Calibri" w:hAnsi="Calibri"/>
                <w:color w:val="000000"/>
                <w:sz w:val="18"/>
                <w:szCs w:val="18"/>
              </w:rPr>
            </w:pPr>
          </w:p>
          <w:p w14:paraId="6B19B3AB" w14:textId="77777777" w:rsidR="00111F84" w:rsidRDefault="00111F84">
            <w:pPr>
              <w:rPr>
                <w:rFonts w:ascii="Calibri" w:hAnsi="Calibri"/>
                <w:sz w:val="18"/>
                <w:szCs w:val="18"/>
              </w:rPr>
            </w:pPr>
          </w:p>
          <w:p w14:paraId="540E9172" w14:textId="77777777" w:rsidR="00111F84" w:rsidRDefault="00111F84">
            <w:pPr>
              <w:rPr>
                <w:rFonts w:ascii="Calibri" w:hAnsi="Calibri"/>
                <w:sz w:val="18"/>
                <w:szCs w:val="18"/>
              </w:rPr>
            </w:pPr>
          </w:p>
          <w:p w14:paraId="4DEE92A9" w14:textId="77777777" w:rsidR="00111F84" w:rsidRDefault="00111F84">
            <w:pPr>
              <w:rPr>
                <w:rFonts w:ascii="Calibri" w:hAnsi="Calibri"/>
                <w:sz w:val="18"/>
                <w:szCs w:val="18"/>
              </w:rPr>
            </w:pPr>
          </w:p>
          <w:p w14:paraId="547D4BD7" w14:textId="77777777" w:rsidR="00111F84" w:rsidRDefault="00111F84">
            <w:pPr>
              <w:rPr>
                <w:rFonts w:ascii="Calibri" w:hAnsi="Calibri"/>
                <w:sz w:val="18"/>
                <w:szCs w:val="18"/>
              </w:rPr>
            </w:pPr>
          </w:p>
          <w:p w14:paraId="65D346E7" w14:textId="77777777" w:rsidR="00111F84" w:rsidRDefault="00111F84">
            <w:pPr>
              <w:rPr>
                <w:rFonts w:ascii="Calibri" w:hAnsi="Calibri"/>
                <w:sz w:val="18"/>
                <w:szCs w:val="18"/>
              </w:rPr>
            </w:pPr>
          </w:p>
          <w:p w14:paraId="7553F6EA" w14:textId="77777777" w:rsidR="00111F84" w:rsidRDefault="00000000">
            <w:pPr>
              <w:spacing w:after="120"/>
              <w:jc w:val="center"/>
              <w:rPr>
                <w:rFonts w:hint="eastAsia"/>
              </w:rPr>
            </w:pPr>
            <w:r>
              <w:rPr>
                <w:rFonts w:ascii="Calibri" w:hAnsi="Calibri"/>
                <w:sz w:val="18"/>
                <w:szCs w:val="1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  <w:t>II półrocze</w:t>
            </w:r>
          </w:p>
        </w:tc>
      </w:tr>
      <w:tr w:rsidR="00111F84" w14:paraId="167CE6B2" w14:textId="77777777">
        <w:trPr>
          <w:trHeight w:val="456"/>
        </w:trPr>
        <w:tc>
          <w:tcPr>
            <w:tcW w:w="15734" w:type="dxa"/>
            <w:gridSpan w:val="6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14:paraId="400EE53B" w14:textId="77777777" w:rsidR="00111F84" w:rsidRDefault="00000000">
            <w:pPr>
              <w:pStyle w:val="Akapitzlist"/>
              <w:widowControl w:val="0"/>
              <w:ind w:left="0"/>
              <w:jc w:val="center"/>
              <w:rPr>
                <w:rFonts w:hint="eastAsia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II. RYSUNEK TECHNICZNY</w:t>
            </w:r>
          </w:p>
        </w:tc>
      </w:tr>
      <w:tr w:rsidR="00111F84" w14:paraId="2D4E1E69" w14:textId="77777777">
        <w:trPr>
          <w:trHeight w:val="979"/>
        </w:trPr>
        <w:tc>
          <w:tcPr>
            <w:tcW w:w="1749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50AB0178" w14:textId="77777777" w:rsidR="00111F84" w:rsidRDefault="00000000">
            <w:pPr>
              <w:widowControl w:val="0"/>
              <w:ind w:left="244" w:hanging="244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lastRenderedPageBreak/>
              <w:t>1. Rodzaje rysunków technicznych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4B644B62" w14:textId="77777777" w:rsidR="00111F84" w:rsidRDefault="00000000">
            <w:pPr>
              <w:widowControl w:val="0"/>
              <w:ind w:hanging="3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bottom"/>
          </w:tcPr>
          <w:p w14:paraId="61ACD2EE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przygotowanie i zastosowanie dokumentacji technicznych</w:t>
            </w:r>
          </w:p>
          <w:p w14:paraId="3E24D69E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rysunek techniczny wykonawczy i złożeniowy</w:t>
            </w:r>
          </w:p>
          <w:p w14:paraId="264A434B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zastosowanie rysunku technicznego</w:t>
            </w:r>
          </w:p>
        </w:tc>
        <w:tc>
          <w:tcPr>
            <w:tcW w:w="505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0A044A33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rozróżnia rysunek techniczny wykonawczy i złożeniowy</w:t>
            </w:r>
          </w:p>
          <w:p w14:paraId="619F319C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zna zastosowanie dokumentacji technicznej</w:t>
            </w:r>
          </w:p>
          <w:p w14:paraId="333F1885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hint="eastAsia"/>
              </w:rPr>
            </w:pPr>
            <w:r>
              <w:rPr>
                <w:rFonts w:ascii="Calibri" w:hAnsi="Calibri"/>
                <w:sz w:val="18"/>
                <w:szCs w:val="18"/>
              </w:rPr>
              <w:t>rozumie potrzebę przygotowania dokumentacji technicznej</w:t>
            </w:r>
          </w:p>
        </w:tc>
        <w:tc>
          <w:tcPr>
            <w:tcW w:w="3687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169C80E8" w14:textId="77777777" w:rsidR="00111F84" w:rsidRDefault="00111F84">
            <w:pPr>
              <w:widowControl w:val="0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0D0A0EEA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I.6</w:t>
            </w:r>
          </w:p>
          <w:p w14:paraId="55EAD730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IV.4</w:t>
            </w:r>
          </w:p>
        </w:tc>
      </w:tr>
      <w:tr w:rsidR="00111F84" w14:paraId="169621AC" w14:textId="77777777">
        <w:trPr>
          <w:trHeight w:val="1704"/>
        </w:trPr>
        <w:tc>
          <w:tcPr>
            <w:tcW w:w="1749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28F1710C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2. Rzuty prostokątne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518A9719" w14:textId="77777777" w:rsidR="00111F84" w:rsidRDefault="00000000">
            <w:pPr>
              <w:widowControl w:val="0"/>
              <w:ind w:hanging="39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4CD38DB2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terminy: rzutowanie prostokątne, rzutnia, rzut główny, rzut boczny, rzut z góry</w:t>
            </w:r>
          </w:p>
          <w:p w14:paraId="6AEFC9EA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zasady przedstawiania przedmiotów w rzutach prostokątnych</w:t>
            </w:r>
          </w:p>
        </w:tc>
        <w:tc>
          <w:tcPr>
            <w:tcW w:w="505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bottom"/>
          </w:tcPr>
          <w:p w14:paraId="0C221790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wyjaśnia, na czym polega rzutowanie prostokątne</w:t>
            </w:r>
          </w:p>
          <w:p w14:paraId="12EEA50A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omawia etapy i zasady rzutowania</w:t>
            </w:r>
          </w:p>
          <w:p w14:paraId="683E2D2C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stosuje odpowiednie linie do zaznaczania konturów rzutowanych brył</w:t>
            </w:r>
          </w:p>
          <w:p w14:paraId="3457E832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wykonuje rzutowanie prostych brył geometrycznych, posługując się układem osi</w:t>
            </w:r>
          </w:p>
          <w:p w14:paraId="2B739FA1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rozpoznaje prawidłowo narysowane rzuty prostokątne określonych brył</w:t>
            </w:r>
          </w:p>
          <w:p w14:paraId="0DBFB8AF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przygotowuje dokumentację rysunkową w rzutach</w:t>
            </w:r>
          </w:p>
        </w:tc>
        <w:tc>
          <w:tcPr>
            <w:tcW w:w="3687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0F1CD935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rozróżnia poszczególne rzuty: główny, boczny i z góry</w:t>
            </w:r>
          </w:p>
        </w:tc>
        <w:tc>
          <w:tcPr>
            <w:tcW w:w="127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60C5929B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IV.3</w:t>
            </w:r>
          </w:p>
        </w:tc>
      </w:tr>
      <w:tr w:rsidR="00111F84" w14:paraId="03562F12" w14:textId="77777777">
        <w:trPr>
          <w:trHeight w:val="1896"/>
        </w:trPr>
        <w:tc>
          <w:tcPr>
            <w:tcW w:w="17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18968367" w14:textId="77777777" w:rsidR="00111F84" w:rsidRDefault="00000000">
            <w:pPr>
              <w:widowControl w:val="0"/>
              <w:ind w:left="244" w:hanging="244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3. Rzuty </w:t>
            </w:r>
            <w:proofErr w:type="spellStart"/>
            <w:r>
              <w:rPr>
                <w:rFonts w:ascii="Calibri" w:hAnsi="Calibri"/>
                <w:color w:val="000000"/>
                <w:sz w:val="18"/>
                <w:szCs w:val="18"/>
              </w:rPr>
              <w:t>aksono</w:t>
            </w:r>
            <w:proofErr w:type="spellEnd"/>
            <w:r>
              <w:rPr>
                <w:rFonts w:ascii="Calibri" w:hAnsi="Calibri"/>
                <w:color w:val="000000"/>
                <w:sz w:val="18"/>
                <w:szCs w:val="18"/>
              </w:rPr>
              <w:t>- metryczne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613BB792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4AFE3BDF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terminy: rzutowanie aksonometryczne, izometria, dimetria ukośna i prostokątna</w:t>
            </w:r>
          </w:p>
          <w:p w14:paraId="164BC011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podstawy rzutowania przestrzennego</w:t>
            </w:r>
          </w:p>
        </w:tc>
        <w:tc>
          <w:tcPr>
            <w:tcW w:w="5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73140EC9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określa, na czym polega rzutowanie aksonometryczne</w:t>
            </w:r>
          </w:p>
          <w:p w14:paraId="63882137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wymienia nazwy rodzajów rzutów aksonometrycznych</w:t>
            </w:r>
          </w:p>
          <w:p w14:paraId="786F1FE8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omawia kolejne etapy przedstawiania brył w rzutach aksonometrycznych</w:t>
            </w:r>
          </w:p>
          <w:p w14:paraId="5A27FAD2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odróżnia rzuty izometryczne od rzutów w dimetrii ukośnej</w:t>
            </w:r>
          </w:p>
          <w:p w14:paraId="4ACE27B9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uzupełnia rysunki brył w izometrii i dimetrii ukośnej</w:t>
            </w:r>
          </w:p>
          <w:p w14:paraId="61D6D173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wykonuje rzuty izometryczne i </w:t>
            </w:r>
            <w:proofErr w:type="spellStart"/>
            <w:r>
              <w:rPr>
                <w:rFonts w:ascii="Calibri" w:hAnsi="Calibri"/>
                <w:sz w:val="18"/>
                <w:szCs w:val="18"/>
              </w:rPr>
              <w:t>dimetryczne</w:t>
            </w:r>
            <w:proofErr w:type="spellEnd"/>
            <w:r>
              <w:rPr>
                <w:rFonts w:ascii="Calibri" w:hAnsi="Calibri"/>
                <w:sz w:val="18"/>
                <w:szCs w:val="18"/>
              </w:rPr>
              <w:t xml:space="preserve"> ukośne brył</w:t>
            </w:r>
          </w:p>
          <w:p w14:paraId="092E228A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przedstawia wskazane przedmioty w izometrii i dimetrii ukośnej</w:t>
            </w:r>
          </w:p>
        </w:tc>
        <w:tc>
          <w:tcPr>
            <w:tcW w:w="3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49EFC1FA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kreśli rzuty aksonometryczne bryły przedstawionej w rzutach prostokątnych</w:t>
            </w:r>
          </w:p>
        </w:tc>
        <w:tc>
          <w:tcPr>
            <w:tcW w:w="12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0DF1765B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IV.3</w:t>
            </w:r>
          </w:p>
        </w:tc>
      </w:tr>
      <w:tr w:rsidR="00111F84" w14:paraId="5EF5C964" w14:textId="77777777">
        <w:trPr>
          <w:trHeight w:val="1349"/>
        </w:trPr>
        <w:tc>
          <w:tcPr>
            <w:tcW w:w="1749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1C5866E2" w14:textId="77777777" w:rsidR="00111F84" w:rsidRDefault="00000000">
            <w:pPr>
              <w:widowControl w:val="0"/>
              <w:ind w:left="244" w:hanging="244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4. Wymiarowanie rysunków technicznych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066FBF6D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080F6B7A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zasady wymiarowania rysunków technicznych</w:t>
            </w:r>
          </w:p>
          <w:p w14:paraId="529AE79C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linie, liczby i znaki wymiarowe</w:t>
            </w:r>
          </w:p>
        </w:tc>
        <w:tc>
          <w:tcPr>
            <w:tcW w:w="505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bottom"/>
          </w:tcPr>
          <w:p w14:paraId="1BB41FAB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nazywa wszystkie elementy zwymiarowanego rysunku technicznego</w:t>
            </w:r>
          </w:p>
          <w:p w14:paraId="682FAE59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prawidłowo stosuje linie, znaki i liczby wymiarowe</w:t>
            </w:r>
          </w:p>
          <w:p w14:paraId="08407443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rysuje i wymiaruje rysunki brył</w:t>
            </w:r>
          </w:p>
          <w:p w14:paraId="2BB8DF58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rysuje i wymiaruje wskazany przedmiot</w:t>
            </w:r>
          </w:p>
          <w:p w14:paraId="6E5D04DD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czyta rysunki wykonawcze i złożeniowe</w:t>
            </w:r>
          </w:p>
          <w:p w14:paraId="01908095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przygotowuje dokumentację rysunkową</w:t>
            </w:r>
          </w:p>
          <w:p w14:paraId="1FA195FE" w14:textId="77777777" w:rsidR="00111F84" w:rsidRDefault="00111F84">
            <w:pPr>
              <w:widowControl w:val="0"/>
              <w:tabs>
                <w:tab w:val="left" w:pos="218"/>
              </w:tabs>
              <w:rPr>
                <w:rFonts w:ascii="Calibri" w:hAnsi="Calibri"/>
                <w:sz w:val="18"/>
                <w:szCs w:val="18"/>
              </w:rPr>
            </w:pPr>
          </w:p>
          <w:p w14:paraId="1503FE27" w14:textId="77777777" w:rsidR="00111F84" w:rsidRDefault="00111F84">
            <w:pPr>
              <w:widowControl w:val="0"/>
              <w:tabs>
                <w:tab w:val="left" w:pos="218"/>
              </w:tabs>
              <w:rPr>
                <w:rFonts w:ascii="Calibri" w:hAnsi="Calibri"/>
                <w:sz w:val="18"/>
                <w:szCs w:val="18"/>
              </w:rPr>
            </w:pPr>
          </w:p>
          <w:p w14:paraId="5539EB15" w14:textId="77777777" w:rsidR="00111F84" w:rsidRDefault="00111F84">
            <w:pPr>
              <w:widowControl w:val="0"/>
              <w:tabs>
                <w:tab w:val="left" w:pos="218"/>
              </w:tabs>
              <w:rPr>
                <w:rFonts w:ascii="Calibri" w:hAnsi="Calibri"/>
                <w:sz w:val="18"/>
                <w:szCs w:val="18"/>
              </w:rPr>
            </w:pPr>
          </w:p>
          <w:p w14:paraId="29FC5CB5" w14:textId="77777777" w:rsidR="00111F84" w:rsidRDefault="00111F84">
            <w:pPr>
              <w:widowControl w:val="0"/>
              <w:tabs>
                <w:tab w:val="left" w:pos="218"/>
              </w:tabs>
              <w:rPr>
                <w:rFonts w:ascii="Calibri" w:hAnsi="Calibri"/>
                <w:sz w:val="18"/>
                <w:szCs w:val="18"/>
              </w:rPr>
            </w:pPr>
          </w:p>
          <w:p w14:paraId="517D6644" w14:textId="77777777" w:rsidR="00111F84" w:rsidRDefault="00111F84">
            <w:pPr>
              <w:widowControl w:val="0"/>
              <w:tabs>
                <w:tab w:val="left" w:pos="218"/>
              </w:tabs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52C928BA" w14:textId="77777777" w:rsidR="00111F84" w:rsidRDefault="00111F84">
            <w:pPr>
              <w:widowControl w:val="0"/>
              <w:tabs>
                <w:tab w:val="left" w:pos="214"/>
              </w:tabs>
              <w:ind w:left="36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0A2C423D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IV.3, 4, 6</w:t>
            </w:r>
          </w:p>
        </w:tc>
      </w:tr>
      <w:tr w:rsidR="00111F84" w14:paraId="15F6FCE2" w14:textId="77777777">
        <w:trPr>
          <w:trHeight w:val="456"/>
        </w:trPr>
        <w:tc>
          <w:tcPr>
            <w:tcW w:w="15734" w:type="dxa"/>
            <w:gridSpan w:val="6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14:paraId="163BFA1E" w14:textId="77777777" w:rsidR="00111F84" w:rsidRDefault="00000000">
            <w:pPr>
              <w:pStyle w:val="Akapitzlist"/>
              <w:widowControl w:val="0"/>
              <w:ind w:left="0"/>
              <w:jc w:val="center"/>
              <w:rPr>
                <w:rFonts w:hint="eastAsia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III. ABC WSPÓŁCZESNEJ TECHNIKI</w:t>
            </w:r>
          </w:p>
        </w:tc>
      </w:tr>
      <w:tr w:rsidR="00111F84" w14:paraId="1ADA1C5E" w14:textId="77777777">
        <w:trPr>
          <w:trHeight w:val="1344"/>
        </w:trPr>
        <w:tc>
          <w:tcPr>
            <w:tcW w:w="1749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3F50357B" w14:textId="77777777" w:rsidR="00111F84" w:rsidRDefault="00000000">
            <w:pPr>
              <w:widowControl w:val="0"/>
              <w:ind w:left="244" w:hanging="244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lastRenderedPageBreak/>
              <w:t>1. Elementy elektroniki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03207F30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bottom"/>
          </w:tcPr>
          <w:p w14:paraId="10BBFD34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określa, na czym polega rzutowanie aksonometryczne</w:t>
            </w:r>
          </w:p>
          <w:p w14:paraId="16ED602E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wymienia nazwy rodzajów rzutów aksonometrycznych</w:t>
            </w:r>
          </w:p>
          <w:p w14:paraId="2B8F763D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omawia kolejne etapy przedstawiania brył w rzutach aksonometrycznych</w:t>
            </w:r>
          </w:p>
          <w:p w14:paraId="39B7DE79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odróżnia rzuty izometryczne od rzutów w dimetrii ukośnej</w:t>
            </w:r>
          </w:p>
          <w:p w14:paraId="5DDE9967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uzupełnia rysunki brył w izometrii i dimetrii ukośnej</w:t>
            </w:r>
          </w:p>
          <w:p w14:paraId="3FAFEF44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hint="eastAsia"/>
              </w:rPr>
            </w:pPr>
            <w:r>
              <w:rPr>
                <w:rFonts w:ascii="Calibri" w:hAnsi="Calibri"/>
                <w:sz w:val="18"/>
                <w:szCs w:val="18"/>
              </w:rPr>
              <w:t>wykonuje rzuty izometryczne i </w:t>
            </w:r>
            <w:proofErr w:type="spellStart"/>
            <w:r>
              <w:rPr>
                <w:rFonts w:ascii="Calibri" w:hAnsi="Calibri"/>
                <w:sz w:val="18"/>
                <w:szCs w:val="18"/>
              </w:rPr>
              <w:t>dimetryczne</w:t>
            </w:r>
            <w:proofErr w:type="spellEnd"/>
            <w:r>
              <w:rPr>
                <w:rFonts w:ascii="Calibri" w:hAnsi="Calibri"/>
                <w:sz w:val="18"/>
                <w:szCs w:val="18"/>
              </w:rPr>
              <w:t xml:space="preserve"> ukośne brył</w:t>
            </w:r>
          </w:p>
          <w:p w14:paraId="5B7ADE4A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hint="eastAsia"/>
              </w:rPr>
            </w:pPr>
            <w:r>
              <w:rPr>
                <w:rFonts w:ascii="Calibri" w:hAnsi="Calibri"/>
                <w:sz w:val="18"/>
                <w:szCs w:val="18"/>
              </w:rPr>
              <w:t>przedstawia wskazane przedmioty w izometrii i dimetrii ukośnej</w:t>
            </w:r>
          </w:p>
        </w:tc>
        <w:tc>
          <w:tcPr>
            <w:tcW w:w="505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13AEADE1" w14:textId="77777777" w:rsidR="00111F84" w:rsidRDefault="00000000">
            <w:pPr>
              <w:widowControl w:val="0"/>
              <w:tabs>
                <w:tab w:val="left" w:pos="216"/>
              </w:tabs>
              <w:ind w:left="244" w:hanging="244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•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ab/>
              <w:t>rozpoznaje elementy elektroniczne (rezystory, diody, tranzystory, kondensatory, cewki)</w:t>
            </w:r>
          </w:p>
          <w:p w14:paraId="2F5140EB" w14:textId="77777777" w:rsidR="00111F84" w:rsidRDefault="00000000">
            <w:pPr>
              <w:widowControl w:val="0"/>
              <w:tabs>
                <w:tab w:val="left" w:pos="214"/>
              </w:tabs>
              <w:ind w:left="244" w:hanging="244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•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ab/>
              <w:t>określa właściwości elementów elektronicznych</w:t>
            </w:r>
          </w:p>
          <w:p w14:paraId="5B344957" w14:textId="77777777" w:rsidR="00111F84" w:rsidRDefault="00000000">
            <w:pPr>
              <w:widowControl w:val="0"/>
              <w:tabs>
                <w:tab w:val="left" w:pos="211"/>
              </w:tabs>
              <w:ind w:left="244" w:hanging="244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•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ab/>
              <w:t>zna zasady segregowania i przetwarzania odpadów oraz materiałów elektrotechnicznych</w:t>
            </w:r>
          </w:p>
        </w:tc>
        <w:tc>
          <w:tcPr>
            <w:tcW w:w="3687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7FEE83DD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hint="eastAsia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wyszukuje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w okolicy punkty prowadzące  zbiórkę zużytego sprzętu elektronicznego</w:t>
            </w:r>
          </w:p>
        </w:tc>
        <w:tc>
          <w:tcPr>
            <w:tcW w:w="127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7C45BFC0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III.1, 2, 3, 8</w:t>
            </w:r>
          </w:p>
        </w:tc>
      </w:tr>
      <w:tr w:rsidR="00111F84" w14:paraId="47A80D4B" w14:textId="77777777">
        <w:trPr>
          <w:trHeight w:val="2602"/>
        </w:trPr>
        <w:tc>
          <w:tcPr>
            <w:tcW w:w="1749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3C7F001D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To takie proste! - Sekrety elektroniki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6F343AB0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41BC7031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instrukcja montażowa zestawów mechanicznych i elektronicznych</w:t>
            </w:r>
          </w:p>
          <w:p w14:paraId="7528E42F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podstawowe narzędzia do montażu modeli</w:t>
            </w:r>
          </w:p>
          <w:p w14:paraId="3CC6DDDA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urządzenia do pomiaru podstawowych wartości elektrycznych</w:t>
            </w:r>
          </w:p>
          <w:p w14:paraId="3439DAEC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umiejętność pracy w grupie</w:t>
            </w:r>
          </w:p>
          <w:p w14:paraId="2A906AB3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elektroniczne elementy konstrukcyjne</w:t>
            </w:r>
          </w:p>
          <w:p w14:paraId="015A1C23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kryteria oceny poprawności wykonania modeli</w:t>
            </w:r>
          </w:p>
        </w:tc>
        <w:tc>
          <w:tcPr>
            <w:tcW w:w="505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bottom"/>
          </w:tcPr>
          <w:p w14:paraId="78F62CA6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dobiera uzgodniony w zespole zestaw konstrukcyjny zgodnie z zainteresowaniami</w:t>
            </w:r>
          </w:p>
          <w:p w14:paraId="171BD684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współpracuje z grupą i podejmuje różne role w zespole</w:t>
            </w:r>
          </w:p>
          <w:p w14:paraId="22014EDC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czyta rysunki schematyczne i instrukcje montażowe</w:t>
            </w:r>
          </w:p>
          <w:p w14:paraId="273B1DA6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rozpoznaje materiały elektrotechniczne oraz elektroniczne (rezystory, diody, tranzystory, kondensatory, cewki)</w:t>
            </w:r>
          </w:p>
          <w:p w14:paraId="21ED26F9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projektuje i konstruuje modele urządzeń technicznych</w:t>
            </w:r>
          </w:p>
          <w:p w14:paraId="21FCE4BE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wybiera i dostosowuje narzędzia do montażu modeli</w:t>
            </w:r>
          </w:p>
          <w:p w14:paraId="7DE00F08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stosuje różnorodne sposoby połączeń</w:t>
            </w:r>
          </w:p>
          <w:p w14:paraId="17ADA716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dokonuje montażu poszczególnych części w całość</w:t>
            </w:r>
          </w:p>
          <w:p w14:paraId="7BEFB029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hint="eastAsia"/>
              </w:rPr>
            </w:pPr>
            <w:r>
              <w:rPr>
                <w:rFonts w:ascii="Calibri" w:hAnsi="Calibri"/>
                <w:sz w:val="18"/>
                <w:szCs w:val="18"/>
              </w:rPr>
              <w:t>ocenia swoje predyspozycje techniczne w kontekście wyboru przyszłego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kierunku kształcenia</w:t>
            </w:r>
          </w:p>
        </w:tc>
        <w:tc>
          <w:tcPr>
            <w:tcW w:w="3687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35460570" w14:textId="77777777" w:rsidR="00111F84" w:rsidRDefault="00111F84">
            <w:pPr>
              <w:widowControl w:val="0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5A4B6CEE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I.1-10</w:t>
            </w:r>
          </w:p>
          <w:p w14:paraId="1A9EDF19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III.1, 5, 6</w:t>
            </w:r>
          </w:p>
          <w:p w14:paraId="5BE1867D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IV.5, 7</w:t>
            </w:r>
          </w:p>
          <w:p w14:paraId="75F16364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V.3</w:t>
            </w:r>
          </w:p>
          <w:p w14:paraId="487EE871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VI.7-9</w:t>
            </w:r>
          </w:p>
        </w:tc>
      </w:tr>
      <w:tr w:rsidR="00111F84" w14:paraId="6753479F" w14:textId="77777777">
        <w:trPr>
          <w:trHeight w:val="1714"/>
        </w:trPr>
        <w:tc>
          <w:tcPr>
            <w:tcW w:w="17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1512D2B6" w14:textId="77777777" w:rsidR="00111F84" w:rsidRDefault="00000000">
            <w:pPr>
              <w:widowControl w:val="0"/>
              <w:ind w:left="244" w:hanging="244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2. Nowoczesny świat techniki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0E2A4924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bottom"/>
          </w:tcPr>
          <w:p w14:paraId="0744A653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wpływ postępu technicznego na funkcjonowanie współczesnego człowieka</w:t>
            </w:r>
          </w:p>
          <w:p w14:paraId="6FAD7320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przykłady i zastosowanie mechatroniki</w:t>
            </w:r>
          </w:p>
          <w:p w14:paraId="6C267C92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zastosowanie nowoczesnych urządzeń i robotów w przemyśle</w:t>
            </w:r>
          </w:p>
          <w:p w14:paraId="1B85E740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zasady współdziałania elementów mechanicznych, elektrycznych i elektronicznych</w:t>
            </w:r>
          </w:p>
          <w:p w14:paraId="7B053F9D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hint="eastAsia"/>
              </w:rPr>
            </w:pPr>
            <w:r>
              <w:rPr>
                <w:rFonts w:ascii="Calibri" w:hAnsi="Calibri"/>
                <w:sz w:val="18"/>
                <w:szCs w:val="18"/>
              </w:rPr>
              <w:t>zagrożenia współczesnej cywilizacji wynikające z postępu technicznego</w:t>
            </w:r>
          </w:p>
        </w:tc>
        <w:tc>
          <w:tcPr>
            <w:tcW w:w="5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1366612D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postrzega środowisko techniczne jako dobro materialne stworzone przez człowieka</w:t>
            </w:r>
          </w:p>
          <w:p w14:paraId="59AAA7A1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identyfikuje elementy techniczne w otoczeniu</w:t>
            </w:r>
          </w:p>
          <w:p w14:paraId="02EDB2BE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rozpoznaje osiągnięcia techniczne, które przysłużyły się człowiekowi</w:t>
            </w:r>
          </w:p>
          <w:p w14:paraId="73EEE209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wyjaśnia zasady współdziałania elementów mechanicznych, elektrycznych i elektronicznych</w:t>
            </w:r>
          </w:p>
          <w:p w14:paraId="2E626A42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hint="eastAsia"/>
              </w:rPr>
            </w:pPr>
            <w:r>
              <w:rPr>
                <w:rFonts w:ascii="Calibri" w:hAnsi="Calibri"/>
                <w:sz w:val="18"/>
                <w:szCs w:val="18"/>
              </w:rPr>
              <w:t>charakteryzuje współczesne zagrożenia cywilizacji spowodowane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postępem technicznym</w:t>
            </w:r>
          </w:p>
        </w:tc>
        <w:tc>
          <w:tcPr>
            <w:tcW w:w="3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1093419E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zna różne przykłady zastosowania mechatroniki w życiu codziennym</w:t>
            </w:r>
          </w:p>
          <w:p w14:paraId="7C49037E" w14:textId="77777777" w:rsidR="00111F84" w:rsidRDefault="00000000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hint="eastAsia"/>
              </w:rPr>
            </w:pPr>
            <w:r>
              <w:rPr>
                <w:rFonts w:ascii="Calibri" w:hAnsi="Calibri"/>
                <w:sz w:val="18"/>
                <w:szCs w:val="18"/>
              </w:rPr>
              <w:t>zna zasady bezpiecznego posługiwania się dronem</w:t>
            </w:r>
          </w:p>
        </w:tc>
        <w:tc>
          <w:tcPr>
            <w:tcW w:w="12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1817E25A" w14:textId="77777777" w:rsidR="00111F84" w:rsidRDefault="00000000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V.1-3</w:t>
            </w:r>
          </w:p>
        </w:tc>
      </w:tr>
    </w:tbl>
    <w:p w14:paraId="00EF900F" w14:textId="77777777" w:rsidR="00111F84" w:rsidRDefault="00111F84">
      <w:pPr>
        <w:widowControl w:val="0"/>
        <w:outlineLvl w:val="3"/>
        <w:rPr>
          <w:rFonts w:hint="eastAsia"/>
        </w:rPr>
      </w:pPr>
    </w:p>
    <w:sectPr w:rsidR="00111F84">
      <w:footerReference w:type="default" r:id="rId7"/>
      <w:pgSz w:w="16838" w:h="11906" w:orient="landscape"/>
      <w:pgMar w:top="1135" w:right="1131" w:bottom="1135" w:left="1700" w:header="0" w:footer="794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8465D8" w14:textId="77777777" w:rsidR="002A15DC" w:rsidRDefault="002A15DC">
      <w:pPr>
        <w:rPr>
          <w:rFonts w:hint="eastAsia"/>
        </w:rPr>
      </w:pPr>
      <w:r>
        <w:separator/>
      </w:r>
    </w:p>
  </w:endnote>
  <w:endnote w:type="continuationSeparator" w:id="0">
    <w:p w14:paraId="155A21DD" w14:textId="77777777" w:rsidR="002A15DC" w:rsidRDefault="002A15D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variable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umanst521EU">
    <w:altName w:val="Cambria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nion Pro">
    <w:charset w:val="EE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7AB4E" w14:textId="77777777" w:rsidR="00111F84" w:rsidRDefault="00000000">
    <w:pPr>
      <w:spacing w:line="184" w:lineRule="exact"/>
      <w:rPr>
        <w:rFonts w:hint="eastAsia"/>
      </w:rPr>
    </w:pPr>
    <w:r>
      <w:rPr>
        <w:rFonts w:ascii="Times" w:hAnsi="Times"/>
        <w:color w:val="000000" w:themeColor="text1"/>
        <w:sz w:val="20"/>
        <w:szCs w:val="20"/>
      </w:rPr>
      <w:t xml:space="preserve">© Copyright by Nowa Era Sp. z o.o. • </w:t>
    </w:r>
    <w:r>
      <w:rPr>
        <w:rStyle w:val="czeinternetowe"/>
        <w:rFonts w:ascii="Times" w:hAnsi="Times"/>
        <w:color w:val="000000" w:themeColor="text1"/>
        <w:sz w:val="20"/>
        <w:szCs w:val="20"/>
      </w:rPr>
      <w:t>www.nowaera.pl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80E988" w14:textId="77777777" w:rsidR="002A15DC" w:rsidRDefault="002A15DC">
      <w:pPr>
        <w:rPr>
          <w:rFonts w:hint="eastAsia"/>
        </w:rPr>
      </w:pPr>
      <w:r>
        <w:separator/>
      </w:r>
    </w:p>
  </w:footnote>
  <w:footnote w:type="continuationSeparator" w:id="0">
    <w:p w14:paraId="1B3501EA" w14:textId="77777777" w:rsidR="002A15DC" w:rsidRDefault="002A15D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36C1F"/>
    <w:multiLevelType w:val="hybridMultilevel"/>
    <w:tmpl w:val="4372D1A6"/>
    <w:lvl w:ilvl="0" w:tplc="4BF44332">
      <w:start w:val="1"/>
      <w:numFmt w:val="bullet"/>
      <w:lvlText w:val="•"/>
      <w:lvlJc w:val="left"/>
      <w:pPr>
        <w:ind w:left="17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58F88CCC">
      <w:start w:val="1"/>
      <w:numFmt w:val="bullet"/>
      <w:lvlText w:val="o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E1F88488">
      <w:start w:val="1"/>
      <w:numFmt w:val="bullet"/>
      <w:lvlText w:val="▪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E54672BC">
      <w:start w:val="1"/>
      <w:numFmt w:val="bullet"/>
      <w:lvlText w:val="•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2A94F6A4">
      <w:start w:val="1"/>
      <w:numFmt w:val="bullet"/>
      <w:lvlText w:val="o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BB24CBC4">
      <w:start w:val="1"/>
      <w:numFmt w:val="bullet"/>
      <w:lvlText w:val="▪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D8B8996E">
      <w:start w:val="1"/>
      <w:numFmt w:val="bullet"/>
      <w:lvlText w:val="•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754C6398">
      <w:start w:val="1"/>
      <w:numFmt w:val="bullet"/>
      <w:lvlText w:val="o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4390793E">
      <w:start w:val="1"/>
      <w:numFmt w:val="bullet"/>
      <w:lvlText w:val="▪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478F0190"/>
    <w:multiLevelType w:val="multilevel"/>
    <w:tmpl w:val="1EA290A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72CA002A"/>
    <w:multiLevelType w:val="multilevel"/>
    <w:tmpl w:val="FD4AAF0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1942103333">
    <w:abstractNumId w:val="2"/>
  </w:num>
  <w:num w:numId="2" w16cid:durableId="1172724456">
    <w:abstractNumId w:val="1"/>
  </w:num>
  <w:num w:numId="3" w16cid:durableId="1798259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F84"/>
    <w:rsid w:val="00111F84"/>
    <w:rsid w:val="002A15DC"/>
    <w:rsid w:val="004D79F0"/>
    <w:rsid w:val="0096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D8361"/>
  <w15:docId w15:val="{78FC49C7-E7E4-462E-96DE-8F6D9DA6F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SimSun" w:hAnsi="Liberation Serif" w:cs="Lucida Sans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A"/>
      <w:sz w:val="24"/>
    </w:rPr>
  </w:style>
  <w:style w:type="paragraph" w:styleId="Nagwek2">
    <w:name w:val="heading 2"/>
    <w:basedOn w:val="Normalny"/>
    <w:qFormat/>
    <w:pPr>
      <w:spacing w:before="280" w:after="280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ListLabel127">
    <w:name w:val="ListLabel 127"/>
    <w:qFormat/>
    <w:rPr>
      <w:rFonts w:ascii="Calibri" w:hAnsi="Calibri" w:cs="OpenSymbol"/>
      <w:sz w:val="18"/>
    </w:rPr>
  </w:style>
  <w:style w:type="character" w:customStyle="1" w:styleId="ListLabel128">
    <w:name w:val="ListLabel 128"/>
    <w:qFormat/>
    <w:rPr>
      <w:rFonts w:cs="OpenSymbol"/>
    </w:rPr>
  </w:style>
  <w:style w:type="character" w:customStyle="1" w:styleId="ListLabel129">
    <w:name w:val="ListLabel 129"/>
    <w:qFormat/>
    <w:rPr>
      <w:rFonts w:cs="OpenSymbol"/>
    </w:rPr>
  </w:style>
  <w:style w:type="character" w:customStyle="1" w:styleId="ListLabel130">
    <w:name w:val="ListLabel 130"/>
    <w:qFormat/>
    <w:rPr>
      <w:rFonts w:cs="OpenSymbol"/>
    </w:rPr>
  </w:style>
  <w:style w:type="character" w:customStyle="1" w:styleId="ListLabel131">
    <w:name w:val="ListLabel 131"/>
    <w:qFormat/>
    <w:rPr>
      <w:rFonts w:cs="OpenSymbol"/>
    </w:rPr>
  </w:style>
  <w:style w:type="character" w:customStyle="1" w:styleId="ListLabel132">
    <w:name w:val="ListLabel 132"/>
    <w:qFormat/>
    <w:rPr>
      <w:rFonts w:cs="OpenSymbol"/>
    </w:rPr>
  </w:style>
  <w:style w:type="character" w:customStyle="1" w:styleId="ListLabel133">
    <w:name w:val="ListLabel 133"/>
    <w:qFormat/>
    <w:rPr>
      <w:rFonts w:cs="OpenSymbol"/>
    </w:rPr>
  </w:style>
  <w:style w:type="character" w:customStyle="1" w:styleId="ListLabel134">
    <w:name w:val="ListLabel 134"/>
    <w:qFormat/>
    <w:rPr>
      <w:rFonts w:cs="OpenSymbol"/>
    </w:rPr>
  </w:style>
  <w:style w:type="character" w:customStyle="1" w:styleId="ListLabel135">
    <w:name w:val="ListLabel 135"/>
    <w:qFormat/>
    <w:rPr>
      <w:rFonts w:cs="OpenSymbol"/>
    </w:rPr>
  </w:style>
  <w:style w:type="character" w:customStyle="1" w:styleId="ListLabel118">
    <w:name w:val="ListLabel 118"/>
    <w:qFormat/>
    <w:rPr>
      <w:rFonts w:ascii="Calibri" w:hAnsi="Calibri" w:cs="OpenSymbol"/>
      <w:sz w:val="18"/>
    </w:rPr>
  </w:style>
  <w:style w:type="character" w:customStyle="1" w:styleId="ListLabel119">
    <w:name w:val="ListLabel 119"/>
    <w:qFormat/>
    <w:rPr>
      <w:rFonts w:cs="OpenSymbol"/>
    </w:rPr>
  </w:style>
  <w:style w:type="character" w:customStyle="1" w:styleId="ListLabel120">
    <w:name w:val="ListLabel 120"/>
    <w:qFormat/>
    <w:rPr>
      <w:rFonts w:cs="OpenSymbol"/>
    </w:rPr>
  </w:style>
  <w:style w:type="character" w:customStyle="1" w:styleId="ListLabel121">
    <w:name w:val="ListLabel 121"/>
    <w:qFormat/>
    <w:rPr>
      <w:rFonts w:cs="OpenSymbol"/>
    </w:rPr>
  </w:style>
  <w:style w:type="character" w:customStyle="1" w:styleId="ListLabel122">
    <w:name w:val="ListLabel 122"/>
    <w:qFormat/>
    <w:rPr>
      <w:rFonts w:cs="OpenSymbol"/>
    </w:rPr>
  </w:style>
  <w:style w:type="character" w:customStyle="1" w:styleId="ListLabel123">
    <w:name w:val="ListLabel 123"/>
    <w:qFormat/>
    <w:rPr>
      <w:rFonts w:cs="OpenSymbol"/>
    </w:rPr>
  </w:style>
  <w:style w:type="character" w:customStyle="1" w:styleId="ListLabel124">
    <w:name w:val="ListLabel 124"/>
    <w:qFormat/>
    <w:rPr>
      <w:rFonts w:cs="OpenSymbol"/>
    </w:rPr>
  </w:style>
  <w:style w:type="character" w:customStyle="1" w:styleId="ListLabel125">
    <w:name w:val="ListLabel 125"/>
    <w:qFormat/>
    <w:rPr>
      <w:rFonts w:cs="OpenSymbol"/>
    </w:rPr>
  </w:style>
  <w:style w:type="character" w:customStyle="1" w:styleId="ListLabel126">
    <w:name w:val="ListLabel 126"/>
    <w:qFormat/>
    <w:rPr>
      <w:rFonts w:cs="OpenSymbol"/>
    </w:rPr>
  </w:style>
  <w:style w:type="character" w:customStyle="1" w:styleId="ListLabel136">
    <w:name w:val="ListLabel 136"/>
    <w:qFormat/>
    <w:rPr>
      <w:rFonts w:cs="OpenSymbol"/>
      <w:sz w:val="18"/>
    </w:rPr>
  </w:style>
  <w:style w:type="character" w:customStyle="1" w:styleId="ListLabel137">
    <w:name w:val="ListLabel 137"/>
    <w:qFormat/>
    <w:rPr>
      <w:rFonts w:cs="OpenSymbol"/>
    </w:rPr>
  </w:style>
  <w:style w:type="character" w:customStyle="1" w:styleId="ListLabel138">
    <w:name w:val="ListLabel 138"/>
    <w:qFormat/>
    <w:rPr>
      <w:rFonts w:cs="OpenSymbol"/>
    </w:rPr>
  </w:style>
  <w:style w:type="character" w:customStyle="1" w:styleId="ListLabel139">
    <w:name w:val="ListLabel 139"/>
    <w:qFormat/>
    <w:rPr>
      <w:rFonts w:cs="OpenSymbol"/>
    </w:rPr>
  </w:style>
  <w:style w:type="character" w:customStyle="1" w:styleId="ListLabel140">
    <w:name w:val="ListLabel 140"/>
    <w:qFormat/>
    <w:rPr>
      <w:rFonts w:cs="OpenSymbol"/>
    </w:rPr>
  </w:style>
  <w:style w:type="character" w:customStyle="1" w:styleId="ListLabel141">
    <w:name w:val="ListLabel 141"/>
    <w:qFormat/>
    <w:rPr>
      <w:rFonts w:cs="OpenSymbol"/>
    </w:rPr>
  </w:style>
  <w:style w:type="character" w:customStyle="1" w:styleId="ListLabel142">
    <w:name w:val="ListLabel 142"/>
    <w:qFormat/>
    <w:rPr>
      <w:rFonts w:cs="OpenSymbol"/>
    </w:rPr>
  </w:style>
  <w:style w:type="character" w:customStyle="1" w:styleId="ListLabel143">
    <w:name w:val="ListLabel 143"/>
    <w:qFormat/>
    <w:rPr>
      <w:rFonts w:cs="OpenSymbol"/>
    </w:rPr>
  </w:style>
  <w:style w:type="character" w:customStyle="1" w:styleId="ListLabel144">
    <w:name w:val="ListLabel 144"/>
    <w:qFormat/>
    <w:rPr>
      <w:rFonts w:cs="OpenSymbol"/>
    </w:rPr>
  </w:style>
  <w:style w:type="character" w:customStyle="1" w:styleId="ListLabel145">
    <w:name w:val="ListLabel 145"/>
    <w:qFormat/>
    <w:rPr>
      <w:rFonts w:cs="OpenSymbol"/>
      <w:sz w:val="18"/>
    </w:rPr>
  </w:style>
  <w:style w:type="character" w:customStyle="1" w:styleId="ListLabel146">
    <w:name w:val="ListLabel 146"/>
    <w:qFormat/>
    <w:rPr>
      <w:rFonts w:cs="OpenSymbol"/>
    </w:rPr>
  </w:style>
  <w:style w:type="character" w:customStyle="1" w:styleId="ListLabel147">
    <w:name w:val="ListLabel 147"/>
    <w:qFormat/>
    <w:rPr>
      <w:rFonts w:cs="OpenSymbol"/>
    </w:rPr>
  </w:style>
  <w:style w:type="character" w:customStyle="1" w:styleId="ListLabel148">
    <w:name w:val="ListLabel 148"/>
    <w:qFormat/>
    <w:rPr>
      <w:rFonts w:cs="OpenSymbol"/>
    </w:rPr>
  </w:style>
  <w:style w:type="character" w:customStyle="1" w:styleId="ListLabel149">
    <w:name w:val="ListLabel 149"/>
    <w:qFormat/>
    <w:rPr>
      <w:rFonts w:cs="OpenSymbol"/>
    </w:rPr>
  </w:style>
  <w:style w:type="character" w:customStyle="1" w:styleId="ListLabel150">
    <w:name w:val="ListLabel 150"/>
    <w:qFormat/>
    <w:rPr>
      <w:rFonts w:cs="OpenSymbol"/>
    </w:rPr>
  </w:style>
  <w:style w:type="character" w:customStyle="1" w:styleId="ListLabel151">
    <w:name w:val="ListLabel 151"/>
    <w:qFormat/>
    <w:rPr>
      <w:rFonts w:cs="OpenSymbol"/>
    </w:rPr>
  </w:style>
  <w:style w:type="character" w:customStyle="1" w:styleId="ListLabel152">
    <w:name w:val="ListLabel 152"/>
    <w:qFormat/>
    <w:rPr>
      <w:rFonts w:cs="OpenSymbol"/>
    </w:rPr>
  </w:style>
  <w:style w:type="character" w:customStyle="1" w:styleId="ListLabel153">
    <w:name w:val="ListLabel 153"/>
    <w:qFormat/>
    <w:rPr>
      <w:rFonts w:cs="OpenSymbol"/>
    </w:rPr>
  </w:style>
  <w:style w:type="character" w:customStyle="1" w:styleId="Znakinumeracji">
    <w:name w:val="Znaki numeracji"/>
    <w:qFormat/>
  </w:style>
  <w:style w:type="character" w:customStyle="1" w:styleId="ListLabel154">
    <w:name w:val="ListLabel 154"/>
    <w:qFormat/>
    <w:rPr>
      <w:rFonts w:ascii="Calibri" w:hAnsi="Calibri"/>
      <w:sz w:val="18"/>
    </w:rPr>
  </w:style>
  <w:style w:type="character" w:customStyle="1" w:styleId="ListLabel155">
    <w:name w:val="ListLabel 155"/>
    <w:qFormat/>
    <w:rPr>
      <w:rFonts w:cs="OpenSymbol"/>
    </w:rPr>
  </w:style>
  <w:style w:type="character" w:customStyle="1" w:styleId="ListLabel156">
    <w:name w:val="ListLabel 156"/>
    <w:qFormat/>
    <w:rPr>
      <w:rFonts w:cs="OpenSymbol"/>
    </w:rPr>
  </w:style>
  <w:style w:type="character" w:customStyle="1" w:styleId="ListLabel157">
    <w:name w:val="ListLabel 157"/>
    <w:qFormat/>
    <w:rPr>
      <w:rFonts w:cs="OpenSymbol"/>
    </w:rPr>
  </w:style>
  <w:style w:type="character" w:customStyle="1" w:styleId="ListLabel158">
    <w:name w:val="ListLabel 158"/>
    <w:qFormat/>
    <w:rPr>
      <w:rFonts w:cs="OpenSymbol"/>
    </w:rPr>
  </w:style>
  <w:style w:type="character" w:customStyle="1" w:styleId="ListLabel159">
    <w:name w:val="ListLabel 159"/>
    <w:qFormat/>
    <w:rPr>
      <w:rFonts w:cs="OpenSymbol"/>
    </w:rPr>
  </w:style>
  <w:style w:type="character" w:customStyle="1" w:styleId="ListLabel160">
    <w:name w:val="ListLabel 160"/>
    <w:qFormat/>
    <w:rPr>
      <w:rFonts w:cs="OpenSymbol"/>
    </w:rPr>
  </w:style>
  <w:style w:type="character" w:customStyle="1" w:styleId="ListLabel161">
    <w:name w:val="ListLabel 161"/>
    <w:qFormat/>
    <w:rPr>
      <w:rFonts w:cs="OpenSymbol"/>
    </w:rPr>
  </w:style>
  <w:style w:type="character" w:customStyle="1" w:styleId="ListLabel162">
    <w:name w:val="ListLabel 162"/>
    <w:qFormat/>
    <w:rPr>
      <w:rFonts w:cs="OpenSymbol"/>
    </w:rPr>
  </w:style>
  <w:style w:type="character" w:customStyle="1" w:styleId="ListLabel163">
    <w:name w:val="ListLabel 163"/>
    <w:qFormat/>
    <w:rPr>
      <w:sz w:val="18"/>
    </w:rPr>
  </w:style>
  <w:style w:type="character" w:customStyle="1" w:styleId="ListLabel164">
    <w:name w:val="ListLabel 164"/>
    <w:qFormat/>
    <w:rPr>
      <w:rFonts w:cs="OpenSymbol"/>
    </w:rPr>
  </w:style>
  <w:style w:type="character" w:customStyle="1" w:styleId="ListLabel165">
    <w:name w:val="ListLabel 165"/>
    <w:qFormat/>
    <w:rPr>
      <w:rFonts w:cs="OpenSymbol"/>
    </w:rPr>
  </w:style>
  <w:style w:type="character" w:customStyle="1" w:styleId="ListLabel166">
    <w:name w:val="ListLabel 166"/>
    <w:qFormat/>
    <w:rPr>
      <w:rFonts w:cs="OpenSymbol"/>
    </w:rPr>
  </w:style>
  <w:style w:type="character" w:customStyle="1" w:styleId="ListLabel167">
    <w:name w:val="ListLabel 167"/>
    <w:qFormat/>
    <w:rPr>
      <w:rFonts w:cs="OpenSymbol"/>
    </w:rPr>
  </w:style>
  <w:style w:type="character" w:customStyle="1" w:styleId="ListLabel168">
    <w:name w:val="ListLabel 168"/>
    <w:qFormat/>
    <w:rPr>
      <w:rFonts w:cs="OpenSymbol"/>
    </w:rPr>
  </w:style>
  <w:style w:type="character" w:customStyle="1" w:styleId="ListLabel169">
    <w:name w:val="ListLabel 169"/>
    <w:qFormat/>
    <w:rPr>
      <w:rFonts w:cs="OpenSymbol"/>
    </w:rPr>
  </w:style>
  <w:style w:type="character" w:customStyle="1" w:styleId="ListLabel170">
    <w:name w:val="ListLabel 170"/>
    <w:qFormat/>
    <w:rPr>
      <w:rFonts w:cs="OpenSymbol"/>
    </w:rPr>
  </w:style>
  <w:style w:type="character" w:customStyle="1" w:styleId="ListLabel171">
    <w:name w:val="ListLabel 171"/>
    <w:qFormat/>
    <w:rPr>
      <w:rFonts w:cs="OpenSymbol"/>
    </w:rPr>
  </w:style>
  <w:style w:type="character" w:customStyle="1" w:styleId="ListLabel172">
    <w:name w:val="ListLabel 172"/>
    <w:qFormat/>
    <w:rPr>
      <w:rFonts w:eastAsia="SimSun" w:cs="Calibri"/>
      <w:color w:val="000000"/>
      <w:sz w:val="18"/>
    </w:rPr>
  </w:style>
  <w:style w:type="character" w:customStyle="1" w:styleId="ListLabel173">
    <w:name w:val="ListLabel 173"/>
    <w:qFormat/>
    <w:rPr>
      <w:rFonts w:cs="Courier New"/>
    </w:rPr>
  </w:style>
  <w:style w:type="character" w:customStyle="1" w:styleId="ListLabel174">
    <w:name w:val="ListLabel 174"/>
    <w:qFormat/>
    <w:rPr>
      <w:rFonts w:cs="Courier New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eastAsia="SimSun" w:cs="Calibri"/>
      <w:color w:val="000000"/>
      <w:sz w:val="18"/>
    </w:rPr>
  </w:style>
  <w:style w:type="character" w:customStyle="1" w:styleId="ListLabel177">
    <w:name w:val="ListLabel 177"/>
    <w:qFormat/>
    <w:rPr>
      <w:rFonts w:cs="Courier New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Courier New"/>
    </w:rPr>
  </w:style>
  <w:style w:type="character" w:customStyle="1" w:styleId="ListLabel180">
    <w:name w:val="ListLabel 180"/>
    <w:qFormat/>
    <w:rPr>
      <w:rFonts w:eastAsia="SimSun" w:cs="Calibri"/>
      <w:color w:val="000000"/>
      <w:sz w:val="18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Courier New"/>
    </w:rPr>
  </w:style>
  <w:style w:type="character" w:customStyle="1" w:styleId="ListLabel183">
    <w:name w:val="ListLabel 183"/>
    <w:qFormat/>
    <w:rPr>
      <w:rFonts w:cs="Courier New"/>
    </w:rPr>
  </w:style>
  <w:style w:type="character" w:customStyle="1" w:styleId="ListLabel184">
    <w:name w:val="ListLabel 184"/>
    <w:qFormat/>
    <w:rPr>
      <w:sz w:val="18"/>
    </w:rPr>
  </w:style>
  <w:style w:type="character" w:customStyle="1" w:styleId="ListLabel185">
    <w:name w:val="ListLabel 185"/>
    <w:qFormat/>
    <w:rPr>
      <w:rFonts w:cs="OpenSymbol"/>
    </w:rPr>
  </w:style>
  <w:style w:type="character" w:customStyle="1" w:styleId="ListLabel186">
    <w:name w:val="ListLabel 186"/>
    <w:qFormat/>
    <w:rPr>
      <w:rFonts w:cs="OpenSymbol"/>
    </w:rPr>
  </w:style>
  <w:style w:type="character" w:customStyle="1" w:styleId="ListLabel187">
    <w:name w:val="ListLabel 187"/>
    <w:qFormat/>
    <w:rPr>
      <w:rFonts w:cs="OpenSymbol"/>
    </w:rPr>
  </w:style>
  <w:style w:type="character" w:customStyle="1" w:styleId="ListLabel188">
    <w:name w:val="ListLabel 188"/>
    <w:qFormat/>
    <w:rPr>
      <w:rFonts w:cs="OpenSymbol"/>
    </w:rPr>
  </w:style>
  <w:style w:type="character" w:customStyle="1" w:styleId="ListLabel189">
    <w:name w:val="ListLabel 189"/>
    <w:qFormat/>
    <w:rPr>
      <w:rFonts w:cs="OpenSymbol"/>
    </w:rPr>
  </w:style>
  <w:style w:type="character" w:customStyle="1" w:styleId="ListLabel190">
    <w:name w:val="ListLabel 190"/>
    <w:qFormat/>
    <w:rPr>
      <w:rFonts w:cs="OpenSymbol"/>
    </w:rPr>
  </w:style>
  <w:style w:type="character" w:customStyle="1" w:styleId="ListLabel191">
    <w:name w:val="ListLabel 191"/>
    <w:qFormat/>
    <w:rPr>
      <w:rFonts w:cs="OpenSymbol"/>
    </w:rPr>
  </w:style>
  <w:style w:type="character" w:customStyle="1" w:styleId="ListLabel192">
    <w:name w:val="ListLabel 192"/>
    <w:qFormat/>
    <w:rPr>
      <w:rFonts w:cs="OpenSymbol"/>
    </w:rPr>
  </w:style>
  <w:style w:type="character" w:customStyle="1" w:styleId="ListLabel193">
    <w:name w:val="ListLabel 193"/>
    <w:qFormat/>
    <w:rPr>
      <w:sz w:val="18"/>
    </w:rPr>
  </w:style>
  <w:style w:type="character" w:customStyle="1" w:styleId="ListLabel194">
    <w:name w:val="ListLabel 194"/>
    <w:qFormat/>
    <w:rPr>
      <w:rFonts w:cs="OpenSymbol"/>
    </w:rPr>
  </w:style>
  <w:style w:type="character" w:customStyle="1" w:styleId="ListLabel195">
    <w:name w:val="ListLabel 195"/>
    <w:qFormat/>
    <w:rPr>
      <w:rFonts w:cs="OpenSymbol"/>
    </w:rPr>
  </w:style>
  <w:style w:type="character" w:customStyle="1" w:styleId="ListLabel196">
    <w:name w:val="ListLabel 196"/>
    <w:qFormat/>
    <w:rPr>
      <w:rFonts w:cs="OpenSymbol"/>
    </w:rPr>
  </w:style>
  <w:style w:type="character" w:customStyle="1" w:styleId="ListLabel197">
    <w:name w:val="ListLabel 197"/>
    <w:qFormat/>
    <w:rPr>
      <w:rFonts w:cs="OpenSymbol"/>
    </w:rPr>
  </w:style>
  <w:style w:type="character" w:customStyle="1" w:styleId="ListLabel198">
    <w:name w:val="ListLabel 198"/>
    <w:qFormat/>
    <w:rPr>
      <w:rFonts w:cs="OpenSymbol"/>
    </w:rPr>
  </w:style>
  <w:style w:type="character" w:customStyle="1" w:styleId="ListLabel199">
    <w:name w:val="ListLabel 199"/>
    <w:qFormat/>
    <w:rPr>
      <w:rFonts w:cs="OpenSymbol"/>
    </w:rPr>
  </w:style>
  <w:style w:type="character" w:customStyle="1" w:styleId="ListLabel200">
    <w:name w:val="ListLabel 200"/>
    <w:qFormat/>
    <w:rPr>
      <w:rFonts w:cs="OpenSymbol"/>
    </w:rPr>
  </w:style>
  <w:style w:type="character" w:customStyle="1" w:styleId="ListLabel201">
    <w:name w:val="ListLabel 201"/>
    <w:qFormat/>
    <w:rPr>
      <w:rFonts w:cs="OpenSymbol"/>
    </w:rPr>
  </w:style>
  <w:style w:type="character" w:customStyle="1" w:styleId="ListLabel202">
    <w:name w:val="ListLabel 202"/>
    <w:qFormat/>
    <w:rPr>
      <w:sz w:val="18"/>
    </w:rPr>
  </w:style>
  <w:style w:type="character" w:customStyle="1" w:styleId="ListLabel203">
    <w:name w:val="ListLabel 203"/>
    <w:qFormat/>
    <w:rPr>
      <w:rFonts w:cs="OpenSymbol"/>
    </w:rPr>
  </w:style>
  <w:style w:type="character" w:customStyle="1" w:styleId="ListLabel204">
    <w:name w:val="ListLabel 204"/>
    <w:qFormat/>
    <w:rPr>
      <w:rFonts w:cs="OpenSymbol"/>
    </w:rPr>
  </w:style>
  <w:style w:type="character" w:customStyle="1" w:styleId="ListLabel205">
    <w:name w:val="ListLabel 205"/>
    <w:qFormat/>
    <w:rPr>
      <w:rFonts w:cs="OpenSymbol"/>
    </w:rPr>
  </w:style>
  <w:style w:type="character" w:customStyle="1" w:styleId="ListLabel206">
    <w:name w:val="ListLabel 206"/>
    <w:qFormat/>
    <w:rPr>
      <w:rFonts w:cs="OpenSymbol"/>
    </w:rPr>
  </w:style>
  <w:style w:type="character" w:customStyle="1" w:styleId="ListLabel207">
    <w:name w:val="ListLabel 207"/>
    <w:qFormat/>
    <w:rPr>
      <w:rFonts w:cs="OpenSymbol"/>
    </w:rPr>
  </w:style>
  <w:style w:type="character" w:customStyle="1" w:styleId="ListLabel208">
    <w:name w:val="ListLabel 208"/>
    <w:qFormat/>
    <w:rPr>
      <w:rFonts w:cs="OpenSymbol"/>
    </w:rPr>
  </w:style>
  <w:style w:type="character" w:customStyle="1" w:styleId="ListLabel209">
    <w:name w:val="ListLabel 209"/>
    <w:qFormat/>
    <w:rPr>
      <w:rFonts w:cs="OpenSymbol"/>
    </w:rPr>
  </w:style>
  <w:style w:type="character" w:customStyle="1" w:styleId="ListLabel210">
    <w:name w:val="ListLabel 210"/>
    <w:qFormat/>
    <w:rPr>
      <w:rFonts w:cs="OpenSymbol"/>
    </w:rPr>
  </w:style>
  <w:style w:type="character" w:customStyle="1" w:styleId="ListLabel211">
    <w:name w:val="ListLabel 211"/>
    <w:qFormat/>
    <w:rPr>
      <w:sz w:val="18"/>
    </w:rPr>
  </w:style>
  <w:style w:type="character" w:customStyle="1" w:styleId="ListLabel212">
    <w:name w:val="ListLabel 212"/>
    <w:qFormat/>
    <w:rPr>
      <w:rFonts w:cs="OpenSymbol"/>
    </w:rPr>
  </w:style>
  <w:style w:type="character" w:customStyle="1" w:styleId="ListLabel213">
    <w:name w:val="ListLabel 213"/>
    <w:qFormat/>
    <w:rPr>
      <w:rFonts w:cs="OpenSymbol"/>
    </w:rPr>
  </w:style>
  <w:style w:type="character" w:customStyle="1" w:styleId="ListLabel214">
    <w:name w:val="ListLabel 214"/>
    <w:qFormat/>
    <w:rPr>
      <w:rFonts w:cs="OpenSymbol"/>
    </w:rPr>
  </w:style>
  <w:style w:type="character" w:customStyle="1" w:styleId="ListLabel215">
    <w:name w:val="ListLabel 215"/>
    <w:qFormat/>
    <w:rPr>
      <w:rFonts w:cs="OpenSymbol"/>
    </w:rPr>
  </w:style>
  <w:style w:type="character" w:customStyle="1" w:styleId="ListLabel216">
    <w:name w:val="ListLabel 216"/>
    <w:qFormat/>
    <w:rPr>
      <w:rFonts w:cs="OpenSymbol"/>
    </w:rPr>
  </w:style>
  <w:style w:type="character" w:customStyle="1" w:styleId="ListLabel217">
    <w:name w:val="ListLabel 217"/>
    <w:qFormat/>
    <w:rPr>
      <w:rFonts w:cs="OpenSymbol"/>
    </w:rPr>
  </w:style>
  <w:style w:type="character" w:customStyle="1" w:styleId="ListLabel218">
    <w:name w:val="ListLabel 218"/>
    <w:qFormat/>
    <w:rPr>
      <w:rFonts w:cs="OpenSymbol"/>
    </w:rPr>
  </w:style>
  <w:style w:type="character" w:customStyle="1" w:styleId="ListLabel219">
    <w:name w:val="ListLabel 219"/>
    <w:qFormat/>
    <w:rPr>
      <w:rFonts w:cs="OpenSymbol"/>
    </w:rPr>
  </w:style>
  <w:style w:type="character" w:customStyle="1" w:styleId="ListLabel220">
    <w:name w:val="ListLabel 220"/>
    <w:qFormat/>
    <w:rPr>
      <w:sz w:val="18"/>
    </w:rPr>
  </w:style>
  <w:style w:type="character" w:customStyle="1" w:styleId="ListLabel221">
    <w:name w:val="ListLabel 221"/>
    <w:qFormat/>
    <w:rPr>
      <w:rFonts w:cs="OpenSymbol"/>
    </w:rPr>
  </w:style>
  <w:style w:type="character" w:customStyle="1" w:styleId="ListLabel222">
    <w:name w:val="ListLabel 222"/>
    <w:qFormat/>
    <w:rPr>
      <w:rFonts w:cs="OpenSymbol"/>
    </w:rPr>
  </w:style>
  <w:style w:type="character" w:customStyle="1" w:styleId="ListLabel223">
    <w:name w:val="ListLabel 223"/>
    <w:qFormat/>
    <w:rPr>
      <w:rFonts w:cs="OpenSymbol"/>
    </w:rPr>
  </w:style>
  <w:style w:type="character" w:customStyle="1" w:styleId="ListLabel224">
    <w:name w:val="ListLabel 224"/>
    <w:qFormat/>
    <w:rPr>
      <w:rFonts w:cs="OpenSymbol"/>
    </w:rPr>
  </w:style>
  <w:style w:type="character" w:customStyle="1" w:styleId="ListLabel225">
    <w:name w:val="ListLabel 225"/>
    <w:qFormat/>
    <w:rPr>
      <w:rFonts w:cs="OpenSymbol"/>
    </w:rPr>
  </w:style>
  <w:style w:type="character" w:customStyle="1" w:styleId="ListLabel226">
    <w:name w:val="ListLabel 226"/>
    <w:qFormat/>
    <w:rPr>
      <w:rFonts w:cs="OpenSymbol"/>
    </w:rPr>
  </w:style>
  <w:style w:type="character" w:customStyle="1" w:styleId="ListLabel227">
    <w:name w:val="ListLabel 227"/>
    <w:qFormat/>
    <w:rPr>
      <w:rFonts w:cs="OpenSymbol"/>
    </w:rPr>
  </w:style>
  <w:style w:type="character" w:customStyle="1" w:styleId="ListLabel228">
    <w:name w:val="ListLabel 228"/>
    <w:qFormat/>
    <w:rPr>
      <w:rFonts w:cs="OpenSymbol"/>
    </w:rPr>
  </w:style>
  <w:style w:type="character" w:customStyle="1" w:styleId="ListLabel229">
    <w:name w:val="ListLabel 229"/>
    <w:qFormat/>
    <w:rPr>
      <w:sz w:val="18"/>
    </w:rPr>
  </w:style>
  <w:style w:type="character" w:customStyle="1" w:styleId="ListLabel230">
    <w:name w:val="ListLabel 230"/>
    <w:qFormat/>
    <w:rPr>
      <w:rFonts w:cs="OpenSymbol"/>
    </w:rPr>
  </w:style>
  <w:style w:type="character" w:customStyle="1" w:styleId="ListLabel231">
    <w:name w:val="ListLabel 231"/>
    <w:qFormat/>
    <w:rPr>
      <w:rFonts w:cs="OpenSymbol"/>
    </w:rPr>
  </w:style>
  <w:style w:type="character" w:customStyle="1" w:styleId="ListLabel232">
    <w:name w:val="ListLabel 232"/>
    <w:qFormat/>
    <w:rPr>
      <w:rFonts w:cs="OpenSymbol"/>
    </w:rPr>
  </w:style>
  <w:style w:type="character" w:customStyle="1" w:styleId="ListLabel233">
    <w:name w:val="ListLabel 233"/>
    <w:qFormat/>
    <w:rPr>
      <w:rFonts w:cs="OpenSymbol"/>
    </w:rPr>
  </w:style>
  <w:style w:type="character" w:customStyle="1" w:styleId="ListLabel234">
    <w:name w:val="ListLabel 234"/>
    <w:qFormat/>
    <w:rPr>
      <w:rFonts w:cs="OpenSymbol"/>
    </w:rPr>
  </w:style>
  <w:style w:type="character" w:customStyle="1" w:styleId="ListLabel235">
    <w:name w:val="ListLabel 235"/>
    <w:qFormat/>
    <w:rPr>
      <w:rFonts w:cs="OpenSymbol"/>
    </w:rPr>
  </w:style>
  <w:style w:type="character" w:customStyle="1" w:styleId="ListLabel236">
    <w:name w:val="ListLabel 236"/>
    <w:qFormat/>
    <w:rPr>
      <w:rFonts w:cs="OpenSymbol"/>
    </w:rPr>
  </w:style>
  <w:style w:type="character" w:customStyle="1" w:styleId="ListLabel237">
    <w:name w:val="ListLabel 237"/>
    <w:qFormat/>
    <w:rPr>
      <w:rFonts w:cs="OpenSymbol"/>
    </w:rPr>
  </w:style>
  <w:style w:type="character" w:customStyle="1" w:styleId="ListLabel238">
    <w:name w:val="ListLabel 238"/>
    <w:qFormat/>
    <w:rPr>
      <w:sz w:val="18"/>
    </w:rPr>
  </w:style>
  <w:style w:type="character" w:customStyle="1" w:styleId="ListLabel239">
    <w:name w:val="ListLabel 239"/>
    <w:qFormat/>
    <w:rPr>
      <w:rFonts w:cs="OpenSymbol"/>
    </w:rPr>
  </w:style>
  <w:style w:type="character" w:customStyle="1" w:styleId="ListLabel240">
    <w:name w:val="ListLabel 240"/>
    <w:qFormat/>
    <w:rPr>
      <w:rFonts w:cs="OpenSymbol"/>
    </w:rPr>
  </w:style>
  <w:style w:type="character" w:customStyle="1" w:styleId="ListLabel241">
    <w:name w:val="ListLabel 241"/>
    <w:qFormat/>
    <w:rPr>
      <w:rFonts w:cs="OpenSymbol"/>
    </w:rPr>
  </w:style>
  <w:style w:type="character" w:customStyle="1" w:styleId="ListLabel242">
    <w:name w:val="ListLabel 242"/>
    <w:qFormat/>
    <w:rPr>
      <w:rFonts w:cs="OpenSymbol"/>
    </w:rPr>
  </w:style>
  <w:style w:type="character" w:customStyle="1" w:styleId="ListLabel243">
    <w:name w:val="ListLabel 243"/>
    <w:qFormat/>
    <w:rPr>
      <w:rFonts w:cs="OpenSymbol"/>
    </w:rPr>
  </w:style>
  <w:style w:type="character" w:customStyle="1" w:styleId="ListLabel244">
    <w:name w:val="ListLabel 244"/>
    <w:qFormat/>
    <w:rPr>
      <w:rFonts w:cs="OpenSymbol"/>
    </w:rPr>
  </w:style>
  <w:style w:type="character" w:customStyle="1" w:styleId="ListLabel245">
    <w:name w:val="ListLabel 245"/>
    <w:qFormat/>
    <w:rPr>
      <w:rFonts w:cs="OpenSymbol"/>
    </w:rPr>
  </w:style>
  <w:style w:type="character" w:customStyle="1" w:styleId="ListLabel246">
    <w:name w:val="ListLabel 246"/>
    <w:qFormat/>
    <w:rPr>
      <w:rFonts w:cs="OpenSymbol"/>
    </w:rPr>
  </w:style>
  <w:style w:type="character" w:customStyle="1" w:styleId="ListLabel247">
    <w:name w:val="ListLabel 247"/>
    <w:qFormat/>
    <w:rPr>
      <w:sz w:val="18"/>
    </w:rPr>
  </w:style>
  <w:style w:type="character" w:customStyle="1" w:styleId="ListLabel248">
    <w:name w:val="ListLabel 248"/>
    <w:qFormat/>
    <w:rPr>
      <w:rFonts w:cs="OpenSymbol"/>
    </w:rPr>
  </w:style>
  <w:style w:type="character" w:customStyle="1" w:styleId="ListLabel249">
    <w:name w:val="ListLabel 249"/>
    <w:qFormat/>
    <w:rPr>
      <w:rFonts w:cs="OpenSymbol"/>
    </w:rPr>
  </w:style>
  <w:style w:type="character" w:customStyle="1" w:styleId="ListLabel250">
    <w:name w:val="ListLabel 250"/>
    <w:qFormat/>
    <w:rPr>
      <w:rFonts w:cs="OpenSymbol"/>
    </w:rPr>
  </w:style>
  <w:style w:type="character" w:customStyle="1" w:styleId="ListLabel251">
    <w:name w:val="ListLabel 251"/>
    <w:qFormat/>
    <w:rPr>
      <w:rFonts w:cs="OpenSymbol"/>
    </w:rPr>
  </w:style>
  <w:style w:type="character" w:customStyle="1" w:styleId="ListLabel252">
    <w:name w:val="ListLabel 252"/>
    <w:qFormat/>
    <w:rPr>
      <w:rFonts w:cs="OpenSymbol"/>
    </w:rPr>
  </w:style>
  <w:style w:type="character" w:customStyle="1" w:styleId="ListLabel253">
    <w:name w:val="ListLabel 253"/>
    <w:qFormat/>
    <w:rPr>
      <w:rFonts w:cs="OpenSymbol"/>
    </w:rPr>
  </w:style>
  <w:style w:type="character" w:customStyle="1" w:styleId="ListLabel254">
    <w:name w:val="ListLabel 254"/>
    <w:qFormat/>
    <w:rPr>
      <w:rFonts w:cs="OpenSymbol"/>
    </w:rPr>
  </w:style>
  <w:style w:type="character" w:customStyle="1" w:styleId="ListLabel255">
    <w:name w:val="ListLabel 255"/>
    <w:qFormat/>
    <w:rPr>
      <w:rFonts w:cs="OpenSymbol"/>
    </w:rPr>
  </w:style>
  <w:style w:type="character" w:customStyle="1" w:styleId="ListLabel256">
    <w:name w:val="ListLabel 256"/>
    <w:qFormat/>
    <w:rPr>
      <w:sz w:val="18"/>
    </w:rPr>
  </w:style>
  <w:style w:type="character" w:customStyle="1" w:styleId="ListLabel257">
    <w:name w:val="ListLabel 257"/>
    <w:qFormat/>
    <w:rPr>
      <w:rFonts w:cs="OpenSymbol"/>
    </w:rPr>
  </w:style>
  <w:style w:type="character" w:customStyle="1" w:styleId="ListLabel258">
    <w:name w:val="ListLabel 258"/>
    <w:qFormat/>
    <w:rPr>
      <w:rFonts w:cs="OpenSymbol"/>
    </w:rPr>
  </w:style>
  <w:style w:type="character" w:customStyle="1" w:styleId="ListLabel259">
    <w:name w:val="ListLabel 259"/>
    <w:qFormat/>
    <w:rPr>
      <w:rFonts w:cs="OpenSymbol"/>
    </w:rPr>
  </w:style>
  <w:style w:type="character" w:customStyle="1" w:styleId="ListLabel260">
    <w:name w:val="ListLabel 260"/>
    <w:qFormat/>
    <w:rPr>
      <w:rFonts w:cs="OpenSymbol"/>
    </w:rPr>
  </w:style>
  <w:style w:type="character" w:customStyle="1" w:styleId="ListLabel261">
    <w:name w:val="ListLabel 261"/>
    <w:qFormat/>
    <w:rPr>
      <w:rFonts w:cs="OpenSymbol"/>
    </w:rPr>
  </w:style>
  <w:style w:type="character" w:customStyle="1" w:styleId="ListLabel262">
    <w:name w:val="ListLabel 262"/>
    <w:qFormat/>
    <w:rPr>
      <w:rFonts w:cs="OpenSymbol"/>
    </w:rPr>
  </w:style>
  <w:style w:type="character" w:customStyle="1" w:styleId="ListLabel263">
    <w:name w:val="ListLabel 263"/>
    <w:qFormat/>
    <w:rPr>
      <w:rFonts w:cs="OpenSymbol"/>
    </w:rPr>
  </w:style>
  <w:style w:type="character" w:customStyle="1" w:styleId="ListLabel264">
    <w:name w:val="ListLabel 264"/>
    <w:qFormat/>
    <w:rPr>
      <w:rFonts w:cs="OpenSymbol"/>
    </w:rPr>
  </w:style>
  <w:style w:type="character" w:customStyle="1" w:styleId="ListLabel265">
    <w:name w:val="ListLabel 265"/>
    <w:qFormat/>
    <w:rPr>
      <w:sz w:val="18"/>
    </w:rPr>
  </w:style>
  <w:style w:type="character" w:customStyle="1" w:styleId="ListLabel266">
    <w:name w:val="ListLabel 266"/>
    <w:qFormat/>
    <w:rPr>
      <w:rFonts w:cs="OpenSymbol"/>
    </w:rPr>
  </w:style>
  <w:style w:type="character" w:customStyle="1" w:styleId="ListLabel267">
    <w:name w:val="ListLabel 267"/>
    <w:qFormat/>
    <w:rPr>
      <w:rFonts w:cs="OpenSymbol"/>
    </w:rPr>
  </w:style>
  <w:style w:type="character" w:customStyle="1" w:styleId="ListLabel268">
    <w:name w:val="ListLabel 268"/>
    <w:qFormat/>
    <w:rPr>
      <w:rFonts w:cs="OpenSymbol"/>
    </w:rPr>
  </w:style>
  <w:style w:type="character" w:customStyle="1" w:styleId="ListLabel269">
    <w:name w:val="ListLabel 269"/>
    <w:qFormat/>
    <w:rPr>
      <w:rFonts w:cs="OpenSymbol"/>
    </w:rPr>
  </w:style>
  <w:style w:type="character" w:customStyle="1" w:styleId="ListLabel270">
    <w:name w:val="ListLabel 270"/>
    <w:qFormat/>
    <w:rPr>
      <w:rFonts w:cs="OpenSymbol"/>
    </w:rPr>
  </w:style>
  <w:style w:type="character" w:customStyle="1" w:styleId="ListLabel271">
    <w:name w:val="ListLabel 271"/>
    <w:qFormat/>
    <w:rPr>
      <w:rFonts w:cs="OpenSymbol"/>
    </w:rPr>
  </w:style>
  <w:style w:type="character" w:customStyle="1" w:styleId="ListLabel272">
    <w:name w:val="ListLabel 272"/>
    <w:qFormat/>
    <w:rPr>
      <w:rFonts w:cs="OpenSymbol"/>
    </w:rPr>
  </w:style>
  <w:style w:type="character" w:customStyle="1" w:styleId="ListLabel273">
    <w:name w:val="ListLabel 273"/>
    <w:qFormat/>
    <w:rPr>
      <w:rFonts w:cs="OpenSymbol"/>
    </w:rPr>
  </w:style>
  <w:style w:type="character" w:customStyle="1" w:styleId="ListLabel274">
    <w:name w:val="ListLabel 274"/>
    <w:qFormat/>
    <w:rPr>
      <w:rFonts w:eastAsia="SimSun" w:cs="Calibri"/>
      <w:color w:val="000000"/>
      <w:sz w:val="18"/>
    </w:rPr>
  </w:style>
  <w:style w:type="character" w:customStyle="1" w:styleId="ListLabel275">
    <w:name w:val="ListLabel 275"/>
    <w:qFormat/>
    <w:rPr>
      <w:rFonts w:cs="Courier New"/>
    </w:rPr>
  </w:style>
  <w:style w:type="character" w:customStyle="1" w:styleId="ListLabel276">
    <w:name w:val="ListLabel 276"/>
    <w:qFormat/>
    <w:rPr>
      <w:rFonts w:cs="Courier New"/>
    </w:rPr>
  </w:style>
  <w:style w:type="character" w:customStyle="1" w:styleId="ListLabel277">
    <w:name w:val="ListLabel 277"/>
    <w:qFormat/>
    <w:rPr>
      <w:rFonts w:cs="Courier New"/>
    </w:rPr>
  </w:style>
  <w:style w:type="character" w:customStyle="1" w:styleId="ListLabel278">
    <w:name w:val="ListLabel 278"/>
    <w:qFormat/>
    <w:rPr>
      <w:sz w:val="18"/>
    </w:rPr>
  </w:style>
  <w:style w:type="character" w:customStyle="1" w:styleId="ListLabel279">
    <w:name w:val="ListLabel 279"/>
    <w:qFormat/>
    <w:rPr>
      <w:rFonts w:cs="OpenSymbol"/>
    </w:rPr>
  </w:style>
  <w:style w:type="character" w:customStyle="1" w:styleId="ListLabel280">
    <w:name w:val="ListLabel 280"/>
    <w:qFormat/>
    <w:rPr>
      <w:rFonts w:cs="OpenSymbol"/>
    </w:rPr>
  </w:style>
  <w:style w:type="character" w:customStyle="1" w:styleId="ListLabel281">
    <w:name w:val="ListLabel 281"/>
    <w:qFormat/>
    <w:rPr>
      <w:rFonts w:cs="OpenSymbol"/>
    </w:rPr>
  </w:style>
  <w:style w:type="character" w:customStyle="1" w:styleId="ListLabel282">
    <w:name w:val="ListLabel 282"/>
    <w:qFormat/>
    <w:rPr>
      <w:rFonts w:cs="OpenSymbol"/>
    </w:rPr>
  </w:style>
  <w:style w:type="character" w:customStyle="1" w:styleId="ListLabel283">
    <w:name w:val="ListLabel 283"/>
    <w:qFormat/>
    <w:rPr>
      <w:rFonts w:cs="OpenSymbol"/>
    </w:rPr>
  </w:style>
  <w:style w:type="character" w:customStyle="1" w:styleId="ListLabel284">
    <w:name w:val="ListLabel 284"/>
    <w:qFormat/>
    <w:rPr>
      <w:rFonts w:cs="OpenSymbol"/>
    </w:rPr>
  </w:style>
  <w:style w:type="character" w:customStyle="1" w:styleId="ListLabel285">
    <w:name w:val="ListLabel 285"/>
    <w:qFormat/>
    <w:rPr>
      <w:rFonts w:cs="OpenSymbol"/>
    </w:rPr>
  </w:style>
  <w:style w:type="character" w:customStyle="1" w:styleId="ListLabel286">
    <w:name w:val="ListLabel 286"/>
    <w:qFormat/>
    <w:rPr>
      <w:rFonts w:cs="OpenSymbol"/>
    </w:rPr>
  </w:style>
  <w:style w:type="character" w:customStyle="1" w:styleId="ListLabel287">
    <w:name w:val="ListLabel 287"/>
    <w:qFormat/>
    <w:rPr>
      <w:sz w:val="18"/>
    </w:rPr>
  </w:style>
  <w:style w:type="character" w:customStyle="1" w:styleId="ListLabel288">
    <w:name w:val="ListLabel 288"/>
    <w:qFormat/>
    <w:rPr>
      <w:rFonts w:cs="OpenSymbol"/>
    </w:rPr>
  </w:style>
  <w:style w:type="character" w:customStyle="1" w:styleId="ListLabel289">
    <w:name w:val="ListLabel 289"/>
    <w:qFormat/>
    <w:rPr>
      <w:rFonts w:cs="OpenSymbol"/>
    </w:rPr>
  </w:style>
  <w:style w:type="character" w:customStyle="1" w:styleId="ListLabel290">
    <w:name w:val="ListLabel 290"/>
    <w:qFormat/>
    <w:rPr>
      <w:rFonts w:cs="OpenSymbol"/>
    </w:rPr>
  </w:style>
  <w:style w:type="character" w:customStyle="1" w:styleId="ListLabel291">
    <w:name w:val="ListLabel 291"/>
    <w:qFormat/>
    <w:rPr>
      <w:rFonts w:cs="OpenSymbol"/>
    </w:rPr>
  </w:style>
  <w:style w:type="character" w:customStyle="1" w:styleId="ListLabel292">
    <w:name w:val="ListLabel 292"/>
    <w:qFormat/>
    <w:rPr>
      <w:rFonts w:cs="OpenSymbol"/>
    </w:rPr>
  </w:style>
  <w:style w:type="character" w:customStyle="1" w:styleId="ListLabel293">
    <w:name w:val="ListLabel 293"/>
    <w:qFormat/>
    <w:rPr>
      <w:rFonts w:cs="OpenSymbol"/>
    </w:rPr>
  </w:style>
  <w:style w:type="character" w:customStyle="1" w:styleId="ListLabel294">
    <w:name w:val="ListLabel 294"/>
    <w:qFormat/>
    <w:rPr>
      <w:rFonts w:cs="OpenSymbol"/>
    </w:rPr>
  </w:style>
  <w:style w:type="character" w:customStyle="1" w:styleId="ListLabel295">
    <w:name w:val="ListLabel 295"/>
    <w:qFormat/>
    <w:rPr>
      <w:rFonts w:cs="OpenSymbol"/>
    </w:rPr>
  </w:style>
  <w:style w:type="character" w:customStyle="1" w:styleId="ListLabel296">
    <w:name w:val="ListLabel 296"/>
    <w:qFormat/>
    <w:rPr>
      <w:sz w:val="18"/>
    </w:rPr>
  </w:style>
  <w:style w:type="character" w:customStyle="1" w:styleId="ListLabel297">
    <w:name w:val="ListLabel 297"/>
    <w:qFormat/>
    <w:rPr>
      <w:rFonts w:cs="OpenSymbol"/>
    </w:rPr>
  </w:style>
  <w:style w:type="character" w:customStyle="1" w:styleId="ListLabel298">
    <w:name w:val="ListLabel 298"/>
    <w:qFormat/>
    <w:rPr>
      <w:rFonts w:cs="OpenSymbol"/>
    </w:rPr>
  </w:style>
  <w:style w:type="character" w:customStyle="1" w:styleId="ListLabel299">
    <w:name w:val="ListLabel 299"/>
    <w:qFormat/>
    <w:rPr>
      <w:rFonts w:cs="OpenSymbol"/>
    </w:rPr>
  </w:style>
  <w:style w:type="character" w:customStyle="1" w:styleId="ListLabel300">
    <w:name w:val="ListLabel 300"/>
    <w:qFormat/>
    <w:rPr>
      <w:rFonts w:cs="OpenSymbol"/>
    </w:rPr>
  </w:style>
  <w:style w:type="character" w:customStyle="1" w:styleId="ListLabel301">
    <w:name w:val="ListLabel 301"/>
    <w:qFormat/>
    <w:rPr>
      <w:rFonts w:cs="OpenSymbol"/>
    </w:rPr>
  </w:style>
  <w:style w:type="character" w:customStyle="1" w:styleId="ListLabel302">
    <w:name w:val="ListLabel 302"/>
    <w:qFormat/>
    <w:rPr>
      <w:rFonts w:cs="OpenSymbol"/>
    </w:rPr>
  </w:style>
  <w:style w:type="character" w:customStyle="1" w:styleId="ListLabel303">
    <w:name w:val="ListLabel 303"/>
    <w:qFormat/>
    <w:rPr>
      <w:rFonts w:cs="OpenSymbol"/>
    </w:rPr>
  </w:style>
  <w:style w:type="character" w:customStyle="1" w:styleId="ListLabel304">
    <w:name w:val="ListLabel 304"/>
    <w:qFormat/>
    <w:rPr>
      <w:rFonts w:cs="OpenSymbol"/>
    </w:rPr>
  </w:style>
  <w:style w:type="character" w:customStyle="1" w:styleId="ListLabel305">
    <w:name w:val="ListLabel 305"/>
    <w:qFormat/>
    <w:rPr>
      <w:rFonts w:eastAsia="SimSun" w:cs="Calibri"/>
      <w:color w:val="000000"/>
      <w:sz w:val="18"/>
    </w:rPr>
  </w:style>
  <w:style w:type="character" w:customStyle="1" w:styleId="ListLabel306">
    <w:name w:val="ListLabel 306"/>
    <w:qFormat/>
    <w:rPr>
      <w:rFonts w:cs="Courier New"/>
    </w:rPr>
  </w:style>
  <w:style w:type="character" w:customStyle="1" w:styleId="ListLabel307">
    <w:name w:val="ListLabel 307"/>
    <w:qFormat/>
    <w:rPr>
      <w:rFonts w:cs="Courier New"/>
    </w:rPr>
  </w:style>
  <w:style w:type="character" w:customStyle="1" w:styleId="ListLabel308">
    <w:name w:val="ListLabel 308"/>
    <w:qFormat/>
    <w:rPr>
      <w:rFonts w:cs="Courier New"/>
    </w:rPr>
  </w:style>
  <w:style w:type="character" w:customStyle="1" w:styleId="ListLabel309">
    <w:name w:val="ListLabel 309"/>
    <w:qFormat/>
    <w:rPr>
      <w:rFonts w:eastAsia="SimSun" w:cs="Calibri"/>
      <w:color w:val="000000"/>
      <w:sz w:val="18"/>
    </w:rPr>
  </w:style>
  <w:style w:type="character" w:customStyle="1" w:styleId="ListLabel310">
    <w:name w:val="ListLabel 310"/>
    <w:qFormat/>
    <w:rPr>
      <w:rFonts w:cs="Courier New"/>
    </w:rPr>
  </w:style>
  <w:style w:type="character" w:customStyle="1" w:styleId="ListLabel311">
    <w:name w:val="ListLabel 311"/>
    <w:qFormat/>
    <w:rPr>
      <w:rFonts w:cs="Courier New"/>
    </w:rPr>
  </w:style>
  <w:style w:type="character" w:customStyle="1" w:styleId="ListLabel312">
    <w:name w:val="ListLabel 312"/>
    <w:qFormat/>
    <w:rPr>
      <w:rFonts w:cs="Courier New"/>
    </w:rPr>
  </w:style>
  <w:style w:type="character" w:customStyle="1" w:styleId="ListLabel313">
    <w:name w:val="ListLabel 313"/>
    <w:qFormat/>
    <w:rPr>
      <w:rFonts w:eastAsia="SimSun" w:cs="Calibri"/>
      <w:color w:val="000000"/>
      <w:sz w:val="18"/>
    </w:rPr>
  </w:style>
  <w:style w:type="character" w:customStyle="1" w:styleId="ListLabel314">
    <w:name w:val="ListLabel 314"/>
    <w:qFormat/>
    <w:rPr>
      <w:rFonts w:cs="Courier New"/>
    </w:rPr>
  </w:style>
  <w:style w:type="character" w:customStyle="1" w:styleId="ListLabel315">
    <w:name w:val="ListLabel 315"/>
    <w:qFormat/>
    <w:rPr>
      <w:rFonts w:cs="Courier New"/>
    </w:rPr>
  </w:style>
  <w:style w:type="character" w:customStyle="1" w:styleId="ListLabel316">
    <w:name w:val="ListLabel 316"/>
    <w:qFormat/>
    <w:rPr>
      <w:rFonts w:cs="Courier New"/>
    </w:rPr>
  </w:style>
  <w:style w:type="character" w:customStyle="1" w:styleId="ListLabel317">
    <w:name w:val="ListLabel 317"/>
    <w:qFormat/>
    <w:rPr>
      <w:rFonts w:eastAsia="SimSun" w:cs="Calibri"/>
      <w:color w:val="000000"/>
      <w:sz w:val="18"/>
    </w:rPr>
  </w:style>
  <w:style w:type="character" w:customStyle="1" w:styleId="ListLabel318">
    <w:name w:val="ListLabel 318"/>
    <w:qFormat/>
    <w:rPr>
      <w:rFonts w:cs="Courier New"/>
    </w:rPr>
  </w:style>
  <w:style w:type="character" w:customStyle="1" w:styleId="ListLabel319">
    <w:name w:val="ListLabel 319"/>
    <w:qFormat/>
    <w:rPr>
      <w:rFonts w:cs="Courier New"/>
    </w:rPr>
  </w:style>
  <w:style w:type="character" w:customStyle="1" w:styleId="ListLabel320">
    <w:name w:val="ListLabel 320"/>
    <w:qFormat/>
    <w:rPr>
      <w:rFonts w:cs="Courier New"/>
    </w:rPr>
  </w:style>
  <w:style w:type="character" w:customStyle="1" w:styleId="ListLabel321">
    <w:name w:val="ListLabel 321"/>
    <w:qFormat/>
    <w:rPr>
      <w:rFonts w:eastAsia="SimSun" w:cs="Calibri"/>
      <w:color w:val="000000"/>
      <w:sz w:val="18"/>
    </w:rPr>
  </w:style>
  <w:style w:type="character" w:customStyle="1" w:styleId="ListLabel322">
    <w:name w:val="ListLabel 322"/>
    <w:qFormat/>
    <w:rPr>
      <w:rFonts w:cs="Courier New"/>
    </w:rPr>
  </w:style>
  <w:style w:type="character" w:customStyle="1" w:styleId="ListLabel323">
    <w:name w:val="ListLabel 323"/>
    <w:qFormat/>
    <w:rPr>
      <w:rFonts w:cs="Courier New"/>
    </w:rPr>
  </w:style>
  <w:style w:type="character" w:customStyle="1" w:styleId="ListLabel324">
    <w:name w:val="ListLabel 324"/>
    <w:qFormat/>
    <w:rPr>
      <w:rFonts w:cs="Courier New"/>
    </w:rPr>
  </w:style>
  <w:style w:type="character" w:customStyle="1" w:styleId="ListLabel325">
    <w:name w:val="ListLabel 325"/>
    <w:qFormat/>
    <w:rPr>
      <w:rFonts w:eastAsia="SimSun" w:cs="Calibri"/>
      <w:color w:val="000000"/>
      <w:sz w:val="18"/>
    </w:rPr>
  </w:style>
  <w:style w:type="character" w:customStyle="1" w:styleId="ListLabel326">
    <w:name w:val="ListLabel 326"/>
    <w:qFormat/>
    <w:rPr>
      <w:rFonts w:cs="Courier New"/>
    </w:rPr>
  </w:style>
  <w:style w:type="character" w:customStyle="1" w:styleId="ListLabel327">
    <w:name w:val="ListLabel 327"/>
    <w:qFormat/>
    <w:rPr>
      <w:rFonts w:cs="Courier New"/>
    </w:rPr>
  </w:style>
  <w:style w:type="character" w:customStyle="1" w:styleId="ListLabel328">
    <w:name w:val="ListLabel 328"/>
    <w:qFormat/>
    <w:rPr>
      <w:rFonts w:cs="Courier New"/>
    </w:rPr>
  </w:style>
  <w:style w:type="character" w:customStyle="1" w:styleId="ListLabel329">
    <w:name w:val="ListLabel 329"/>
    <w:qFormat/>
    <w:rPr>
      <w:rFonts w:eastAsia="SimSun" w:cs="Calibri"/>
      <w:color w:val="000000"/>
      <w:sz w:val="18"/>
    </w:rPr>
  </w:style>
  <w:style w:type="character" w:customStyle="1" w:styleId="ListLabel330">
    <w:name w:val="ListLabel 330"/>
    <w:qFormat/>
    <w:rPr>
      <w:rFonts w:cs="Courier New"/>
    </w:rPr>
  </w:style>
  <w:style w:type="character" w:customStyle="1" w:styleId="ListLabel331">
    <w:name w:val="ListLabel 331"/>
    <w:qFormat/>
    <w:rPr>
      <w:rFonts w:cs="Courier New"/>
    </w:rPr>
  </w:style>
  <w:style w:type="character" w:customStyle="1" w:styleId="ListLabel332">
    <w:name w:val="ListLabel 332"/>
    <w:qFormat/>
    <w:rPr>
      <w:rFonts w:cs="Courier New"/>
    </w:rPr>
  </w:style>
  <w:style w:type="character" w:customStyle="1" w:styleId="ListLabel333">
    <w:name w:val="ListLabel 333"/>
    <w:qFormat/>
    <w:rPr>
      <w:rFonts w:eastAsia="SimSun" w:cs="Calibri"/>
      <w:color w:val="000000"/>
      <w:sz w:val="18"/>
    </w:rPr>
  </w:style>
  <w:style w:type="character" w:customStyle="1" w:styleId="ListLabel334">
    <w:name w:val="ListLabel 334"/>
    <w:qFormat/>
    <w:rPr>
      <w:rFonts w:cs="Courier New"/>
    </w:rPr>
  </w:style>
  <w:style w:type="character" w:customStyle="1" w:styleId="ListLabel335">
    <w:name w:val="ListLabel 335"/>
    <w:qFormat/>
    <w:rPr>
      <w:rFonts w:cs="Courier New"/>
    </w:rPr>
  </w:style>
  <w:style w:type="character" w:customStyle="1" w:styleId="ListLabel336">
    <w:name w:val="ListLabel 336"/>
    <w:qFormat/>
    <w:rPr>
      <w:rFonts w:cs="Courier New"/>
    </w:rPr>
  </w:style>
  <w:style w:type="character" w:customStyle="1" w:styleId="ListLabel337">
    <w:name w:val="ListLabel 337"/>
    <w:qFormat/>
    <w:rPr>
      <w:sz w:val="18"/>
    </w:rPr>
  </w:style>
  <w:style w:type="character" w:customStyle="1" w:styleId="ListLabel338">
    <w:name w:val="ListLabel 338"/>
    <w:qFormat/>
    <w:rPr>
      <w:rFonts w:cs="OpenSymbol"/>
    </w:rPr>
  </w:style>
  <w:style w:type="character" w:customStyle="1" w:styleId="ListLabel339">
    <w:name w:val="ListLabel 339"/>
    <w:qFormat/>
    <w:rPr>
      <w:rFonts w:cs="OpenSymbol"/>
    </w:rPr>
  </w:style>
  <w:style w:type="character" w:customStyle="1" w:styleId="ListLabel340">
    <w:name w:val="ListLabel 340"/>
    <w:qFormat/>
    <w:rPr>
      <w:rFonts w:cs="OpenSymbol"/>
    </w:rPr>
  </w:style>
  <w:style w:type="character" w:customStyle="1" w:styleId="ListLabel341">
    <w:name w:val="ListLabel 341"/>
    <w:qFormat/>
    <w:rPr>
      <w:rFonts w:cs="OpenSymbol"/>
    </w:rPr>
  </w:style>
  <w:style w:type="character" w:customStyle="1" w:styleId="ListLabel342">
    <w:name w:val="ListLabel 342"/>
    <w:qFormat/>
    <w:rPr>
      <w:rFonts w:cs="OpenSymbol"/>
    </w:rPr>
  </w:style>
  <w:style w:type="character" w:customStyle="1" w:styleId="ListLabel343">
    <w:name w:val="ListLabel 343"/>
    <w:qFormat/>
    <w:rPr>
      <w:rFonts w:cs="OpenSymbol"/>
    </w:rPr>
  </w:style>
  <w:style w:type="character" w:customStyle="1" w:styleId="ListLabel344">
    <w:name w:val="ListLabel 344"/>
    <w:qFormat/>
    <w:rPr>
      <w:rFonts w:cs="OpenSymbol"/>
    </w:rPr>
  </w:style>
  <w:style w:type="character" w:customStyle="1" w:styleId="ListLabel345">
    <w:name w:val="ListLabel 345"/>
    <w:qFormat/>
    <w:rPr>
      <w:rFonts w:cs="OpenSymbol"/>
    </w:rPr>
  </w:style>
  <w:style w:type="character" w:customStyle="1" w:styleId="ListLabel346">
    <w:name w:val="ListLabel 346"/>
    <w:qFormat/>
    <w:rPr>
      <w:sz w:val="18"/>
    </w:rPr>
  </w:style>
  <w:style w:type="character" w:customStyle="1" w:styleId="ListLabel347">
    <w:name w:val="ListLabel 347"/>
    <w:qFormat/>
    <w:rPr>
      <w:rFonts w:cs="OpenSymbol"/>
    </w:rPr>
  </w:style>
  <w:style w:type="character" w:customStyle="1" w:styleId="ListLabel348">
    <w:name w:val="ListLabel 348"/>
    <w:qFormat/>
    <w:rPr>
      <w:rFonts w:cs="OpenSymbol"/>
    </w:rPr>
  </w:style>
  <w:style w:type="character" w:customStyle="1" w:styleId="ListLabel349">
    <w:name w:val="ListLabel 349"/>
    <w:qFormat/>
    <w:rPr>
      <w:rFonts w:cs="OpenSymbol"/>
    </w:rPr>
  </w:style>
  <w:style w:type="character" w:customStyle="1" w:styleId="ListLabel350">
    <w:name w:val="ListLabel 350"/>
    <w:qFormat/>
    <w:rPr>
      <w:rFonts w:cs="OpenSymbol"/>
    </w:rPr>
  </w:style>
  <w:style w:type="character" w:customStyle="1" w:styleId="ListLabel351">
    <w:name w:val="ListLabel 351"/>
    <w:qFormat/>
    <w:rPr>
      <w:rFonts w:cs="OpenSymbol"/>
    </w:rPr>
  </w:style>
  <w:style w:type="character" w:customStyle="1" w:styleId="ListLabel352">
    <w:name w:val="ListLabel 352"/>
    <w:qFormat/>
    <w:rPr>
      <w:rFonts w:cs="OpenSymbol"/>
    </w:rPr>
  </w:style>
  <w:style w:type="character" w:customStyle="1" w:styleId="ListLabel353">
    <w:name w:val="ListLabel 353"/>
    <w:qFormat/>
    <w:rPr>
      <w:rFonts w:cs="OpenSymbol"/>
    </w:rPr>
  </w:style>
  <w:style w:type="character" w:customStyle="1" w:styleId="ListLabel354">
    <w:name w:val="ListLabel 354"/>
    <w:qFormat/>
    <w:rPr>
      <w:rFonts w:cs="Open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0">
    <w:name w:val="ListLabel 20"/>
    <w:qFormat/>
    <w:rPr>
      <w:rFonts w:eastAsia="Calibri" w:cs="Times New Roman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6">
    <w:name w:val="ListLabel 16"/>
    <w:qFormat/>
    <w:rPr>
      <w:rFonts w:eastAsia="Calibri" w:cs="Times New Roman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Nagwek2Znak">
    <w:name w:val="Nagłówek 2 Znak"/>
    <w:basedOn w:val="Domylnaczcionkaakapitu"/>
    <w:qFormat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TekstpodstawowyZnak">
    <w:name w:val="Tekst podstawowy Znak"/>
    <w:basedOn w:val="Domylnaczcionkaakapitu"/>
    <w:qFormat/>
  </w:style>
  <w:style w:type="character" w:customStyle="1" w:styleId="Tekstpodstawowy2Znak">
    <w:name w:val="Tekst podstawowy 2 Znak"/>
    <w:basedOn w:val="Domylnaczcionkaakapitu"/>
    <w:qFormat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Wyrnienie">
    <w:name w:val="Wyróżnienie"/>
    <w:basedOn w:val="Domylnaczcionkaakapitu"/>
    <w:qFormat/>
    <w:rPr>
      <w:i/>
      <w:iCs/>
    </w:rPr>
  </w:style>
  <w:style w:type="character" w:customStyle="1" w:styleId="StopkaZnak">
    <w:name w:val="Stopka Znak"/>
    <w:basedOn w:val="Domylnaczcionkaakapitu"/>
    <w:qFormat/>
  </w:style>
  <w:style w:type="character" w:customStyle="1" w:styleId="NagwekZnak">
    <w:name w:val="Nagłówek Znak"/>
    <w:basedOn w:val="Domylnaczcionkaakapitu"/>
    <w:qFormat/>
  </w:style>
  <w:style w:type="character" w:customStyle="1" w:styleId="A14">
    <w:name w:val="A14"/>
    <w:qFormat/>
    <w:rPr>
      <w:rFonts w:cs="Humanst521EU"/>
      <w:color w:val="000000"/>
      <w:sz w:val="15"/>
      <w:szCs w:val="15"/>
    </w:rPr>
  </w:style>
  <w:style w:type="character" w:customStyle="1" w:styleId="A13">
    <w:name w:val="A13"/>
    <w:qFormat/>
    <w:rPr>
      <w:rFonts w:cs="Humanst521EU"/>
      <w:color w:val="000000"/>
      <w:sz w:val="15"/>
      <w:szCs w:val="15"/>
    </w:rPr>
  </w:style>
  <w:style w:type="character" w:customStyle="1" w:styleId="TematkomentarzaZnak">
    <w:name w:val="Temat komentarza Znak"/>
    <w:basedOn w:val="TekstkomentarzaZnak"/>
    <w:qFormat/>
    <w:rPr>
      <w:b/>
      <w:bCs/>
      <w:sz w:val="20"/>
      <w:szCs w:val="20"/>
    </w:rPr>
  </w:style>
  <w:style w:type="character" w:customStyle="1" w:styleId="TekstkomentarzaZnak">
    <w:name w:val="Tekst komentarza Znak"/>
    <w:basedOn w:val="Domylnaczcionkaakapitu"/>
    <w:qFormat/>
    <w:rPr>
      <w:sz w:val="20"/>
      <w:szCs w:val="20"/>
    </w:rPr>
  </w:style>
  <w:style w:type="character" w:styleId="Odwoaniedokomentarza">
    <w:name w:val="annotation reference"/>
    <w:basedOn w:val="Domylnaczcionkaakapitu"/>
    <w:qFormat/>
    <w:rPr>
      <w:sz w:val="16"/>
      <w:szCs w:val="16"/>
    </w:rPr>
  </w:style>
  <w:style w:type="character" w:customStyle="1" w:styleId="TekstdymkaZnak">
    <w:name w:val="Tekst dymka Znak"/>
    <w:basedOn w:val="Domylnaczcionkaakapitu"/>
    <w:qFormat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Stopka">
    <w:name w:val="footer"/>
    <w:basedOn w:val="Normalny"/>
    <w:pPr>
      <w:suppressLineNumbers/>
      <w:tabs>
        <w:tab w:val="center" w:pos="4819"/>
        <w:tab w:val="right" w:pos="9638"/>
      </w:tabs>
    </w:pPr>
  </w:style>
  <w:style w:type="paragraph" w:styleId="Akapitzlist">
    <w:name w:val="List Paragraph"/>
    <w:basedOn w:val="Normalny"/>
    <w:uiPriority w:val="34"/>
    <w:qFormat/>
    <w:rsid w:val="00C82F5E"/>
    <w:pPr>
      <w:ind w:left="720"/>
      <w:contextualSpacing/>
    </w:pPr>
    <w:rPr>
      <w:rFonts w:cs="Mangal"/>
      <w:szCs w:val="21"/>
    </w:rPr>
  </w:style>
  <w:style w:type="paragraph" w:styleId="Tekstpodstawowy2">
    <w:name w:val="Body Text 2"/>
    <w:basedOn w:val="Normalny"/>
    <w:qFormat/>
    <w:rPr>
      <w:rFonts w:ascii="Times New Roman" w:eastAsia="Times New Roman" w:hAnsi="Times New Roman" w:cs="Times New Roman"/>
      <w:sz w:val="28"/>
      <w:lang w:eastAsia="pl-PL"/>
    </w:rPr>
  </w:style>
  <w:style w:type="paragraph" w:customStyle="1" w:styleId="Pa31">
    <w:name w:val="Pa31"/>
    <w:basedOn w:val="Default"/>
    <w:next w:val="Default"/>
    <w:qFormat/>
    <w:pPr>
      <w:spacing w:line="321" w:lineRule="atLeast"/>
    </w:pPr>
    <w:rPr>
      <w:rFonts w:ascii="Minion Pro" w:hAnsi="Minion Pro" w:cs="Lucida Sans"/>
      <w:color w:val="00000A"/>
      <w:lang w:eastAsia="en-US"/>
    </w:rPr>
  </w:style>
  <w:style w:type="paragraph" w:styleId="Bezodstpw">
    <w:name w:val="No Spacing"/>
    <w:qFormat/>
    <w:pPr>
      <w:widowControl w:val="0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Default">
    <w:name w:val="Default"/>
    <w:qFormat/>
    <w:rPr>
      <w:rFonts w:ascii="Times New Roman" w:eastAsia="Calibri" w:hAnsi="Times New Roman" w:cs="Times New Roman"/>
      <w:color w:val="000000"/>
      <w:sz w:val="24"/>
      <w:lang w:eastAsia="pl-PL"/>
    </w:rPr>
  </w:style>
  <w:style w:type="paragraph" w:customStyle="1" w:styleId="Pa11">
    <w:name w:val="Pa11"/>
    <w:basedOn w:val="Normalny"/>
    <w:qFormat/>
    <w:pPr>
      <w:spacing w:line="241" w:lineRule="atLeast"/>
    </w:pPr>
    <w:rPr>
      <w:rFonts w:ascii="Humanst521EU" w:hAnsi="Humanst521EU"/>
    </w:rPr>
  </w:style>
  <w:style w:type="paragraph" w:styleId="Poprawka">
    <w:name w:val="Revision"/>
    <w:qFormat/>
    <w:rPr>
      <w:sz w:val="24"/>
    </w:rPr>
  </w:style>
  <w:style w:type="paragraph" w:styleId="Tematkomentarza">
    <w:name w:val="annotation subject"/>
    <w:basedOn w:val="Tekstkomentarza"/>
    <w:qFormat/>
    <w:rPr>
      <w:b/>
      <w:bCs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4D79F0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45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1716</Words>
  <Characters>10296</Characters>
  <Application>Microsoft Office Word</Application>
  <DocSecurity>0</DocSecurity>
  <Lines>85</Lines>
  <Paragraphs>23</Paragraphs>
  <ScaleCrop>false</ScaleCrop>
  <Company>www.nowaera.pl</Company>
  <LinksUpToDate>false</LinksUpToDate>
  <CharactersWithSpaces>11989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Sieczak</dc:creator>
  <dc:description/>
  <cp:lastModifiedBy>Anna Bryl</cp:lastModifiedBy>
  <cp:revision>1</cp:revision>
  <dcterms:created xsi:type="dcterms:W3CDTF">2019-07-30T06:29:00Z</dcterms:created>
  <dcterms:modified xsi:type="dcterms:W3CDTF">2024-09-09T22:58:00Z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www.nowaera.pl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